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Arial" w:hAnsi="Arial"/>
          <w:b/>
          <w:color w:val="2563EB"/>
          <w:sz w:val="22"/>
        </w:rPr>
        <w:t>ПРИМЕР ОТЧЕТА</w:t>
      </w:r>
    </w:p>
    <w:p>
      <w:pPr>
        <w:spacing w:before="360"/>
        <w:jc w:val="center"/>
      </w:pPr>
      <w:r>
        <w:rPr>
          <w:rFonts w:ascii="Arial" w:hAnsi="Arial"/>
          <w:b/>
          <w:color w:val="18324B"/>
          <w:sz w:val="54"/>
        </w:rPr>
        <w:t>SEO-АУДИТ САЙТА</w:t>
      </w:r>
    </w:p>
    <w:p>
      <w:pPr>
        <w:jc w:val="center"/>
      </w:pPr>
      <w:r>
        <w:rPr>
          <w:rFonts w:ascii="Arial" w:hAnsi="Arial"/>
          <w:b/>
          <w:color w:val="2563EB"/>
          <w:sz w:val="42"/>
        </w:rPr>
        <w:t>demo-climat.ru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 w:val="0"/>
                <w:color w:val="18324B"/>
                <w:sz w:val="22"/>
              </w:rPr>
              <w:t>Анализ технических ошибок, метатегов, индексации, внутренних ссылок, изображений, мобильной версии и скорости загрузки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8FAFC"/>
            <w:tcMar>
              <w:top w:w="110" w:type="dxa"/>
              <w:start w:w="110" w:type="dxa"/>
              <w:bottom w:w="110" w:type="dxa"/>
              <w:end w:w="110" w:type="dxa"/>
            </w:tcMar>
            <w:vAlign w:val="top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5472000" cy="342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desktop_first_screen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2000" cy="34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2324"/>
            <w:shd w:fill="FEF3C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6"/>
              </w:rPr>
              <w:t>66/100</w:t>
              <w:br/>
              <w:t>Оценка по выборке</w:t>
            </w:r>
          </w:p>
        </w:tc>
        <w:tc>
          <w:tcPr>
            <w:tcW w:type="dxa" w:w="2324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6"/>
              </w:rPr>
              <w:t>Интернет-магазин</w:t>
              <w:br/>
              <w:t>Тип проекта</w:t>
            </w:r>
          </w:p>
        </w:tc>
        <w:tc>
          <w:tcPr>
            <w:tcW w:type="dxa" w:w="2324"/>
            <w:shd w:fill="F8FAFC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6"/>
              </w:rPr>
              <w:t>1С-Битрикс</w:t>
              <w:br/>
              <w:t>CMS / технология</w:t>
            </w:r>
          </w:p>
        </w:tc>
        <w:tc>
          <w:tcPr>
            <w:tcW w:type="dxa" w:w="2324"/>
            <w:shd w:fill="FEE2E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6"/>
              </w:rPr>
              <w:t>84/100</w:t>
              <w:br/>
              <w:t>Визуальный первый экран</w:t>
            </w:r>
          </w:p>
        </w:tc>
      </w:tr>
    </w:tbl>
    <w:p>
      <w:pPr>
        <w:spacing w:before="160"/>
        <w:jc w:val="center"/>
      </w:pPr>
      <w:r>
        <w:rPr>
          <w:rFonts w:ascii="Arial" w:hAnsi="Arial"/>
          <w:color w:val="64748B"/>
          <w:sz w:val="20"/>
        </w:rPr>
        <w:t>Дата подготовки: 01.08.2026</w:t>
      </w:r>
    </w:p>
    <w:p>
      <w:pPr>
        <w:spacing w:before="200"/>
        <w:jc w:val="center"/>
      </w:pPr>
      <w:r>
        <w:rPr>
          <w:rFonts w:ascii="Arial" w:hAnsi="Arial"/>
          <w:color w:val="64748B"/>
          <w:sz w:val="18"/>
        </w:rPr>
        <w:t>Отчет сформирован: Демонстрационное агентство · на платформе SEOскоп · версия 3.8.0</w:t>
      </w:r>
    </w:p>
    <w:p>
      <w:r>
        <w:br w:type="page"/>
      </w:r>
    </w:p>
    <w:p>
      <w:pPr>
        <w:pStyle w:val="Heading1"/>
      </w:pPr>
      <w:r>
        <w:t>Оглавление</w:t>
      </w:r>
    </w:p>
    <w:p>
      <w:pPr>
        <w:spacing w:after="60"/>
      </w:pPr>
      <w:r>
        <w:rPr>
          <w:rFonts w:ascii="Arial" w:hAnsi="Arial"/>
          <w:color w:val="4B5563"/>
          <w:sz w:val="18"/>
        </w:rPr>
        <w:t>Нажмите на пункт, чтобы перейти к нужному разделу.</w:t>
      </w:r>
    </w:p>
    <w:p>
      <w:pPr>
        <w:spacing w:after="60"/>
        <w:ind w:left="0"/>
      </w:pPr>
      <w:hyperlink w:anchor="seoskop_toc_1" w:history="1">
        <w:r>
          <w:rPr>
            <w:color w:val="2563EB"/>
            <w:u w:val="single"/>
            <w:sz w:val="20"/>
          </w:rPr>
          <w:t>1. Краткое резюме по сайту</w:t>
        </w:r>
      </w:hyperlink>
    </w:p>
    <w:p>
      <w:pPr>
        <w:spacing w:after="60"/>
        <w:ind w:left="0"/>
      </w:pPr>
      <w:hyperlink w:anchor="seoskop_toc_2" w:history="1">
        <w:r>
          <w:rPr>
            <w:color w:val="2563EB"/>
            <w:u w:val="single"/>
            <w:sz w:val="20"/>
          </w:rPr>
          <w:t>2. Карта рисков и ключевые показатели</w:t>
        </w:r>
      </w:hyperlink>
    </w:p>
    <w:p>
      <w:pPr>
        <w:spacing w:after="60"/>
        <w:ind w:left="0"/>
      </w:pPr>
      <w:hyperlink w:anchor="seoskop_toc_3" w:history="1">
        <w:r>
          <w:rPr>
            <w:color w:val="2563EB"/>
            <w:u w:val="single"/>
            <w:sz w:val="20"/>
          </w:rPr>
          <w:t>3. Тип сайта, тематика и региональность</w:t>
        </w:r>
      </w:hyperlink>
    </w:p>
    <w:p>
      <w:pPr>
        <w:spacing w:after="60"/>
        <w:ind w:left="360"/>
      </w:pPr>
      <w:hyperlink w:anchor="seoskop_toc_4" w:history="1">
        <w:r>
          <w:rPr>
            <w:color w:val="2563EB"/>
            <w:u w:val="single"/>
            <w:sz w:val="18"/>
          </w:rPr>
          <w:t>Нишевый профиль</w:t>
        </w:r>
      </w:hyperlink>
    </w:p>
    <w:p>
      <w:pPr>
        <w:spacing w:after="60"/>
        <w:ind w:left="720"/>
      </w:pPr>
      <w:hyperlink w:anchor="seoskop_toc_5" w:history="1">
        <w:r>
          <w:rPr>
            <w:color w:val="2563EB"/>
            <w:u w:val="single"/>
            <w:sz w:val="18"/>
          </w:rPr>
          <w:t>Наблюдаемые паттерны сильных сайтов ниши</w:t>
        </w:r>
      </w:hyperlink>
    </w:p>
    <w:p>
      <w:pPr>
        <w:spacing w:after="60"/>
        <w:ind w:left="720"/>
      </w:pPr>
      <w:hyperlink w:anchor="seoskop_toc_6" w:history="1">
        <w:r>
          <w:rPr>
            <w:color w:val="2563EB"/>
            <w:u w:val="single"/>
            <w:sz w:val="18"/>
          </w:rPr>
          <w:t>Что полезно перенять у крупных ритейлеров</w:t>
        </w:r>
      </w:hyperlink>
    </w:p>
    <w:p>
      <w:pPr>
        <w:spacing w:after="60"/>
        <w:ind w:left="360"/>
      </w:pPr>
      <w:hyperlink w:anchor="seoskop_toc_7" w:history="1">
        <w:r>
          <w:rPr>
            <w:color w:val="2563EB"/>
            <w:u w:val="single"/>
            <w:sz w:val="18"/>
          </w:rPr>
          <w:t>Региональность</w:t>
        </w:r>
      </w:hyperlink>
    </w:p>
    <w:p>
      <w:pPr>
        <w:spacing w:after="60"/>
        <w:ind w:left="360"/>
      </w:pPr>
      <w:hyperlink w:anchor="seoskop_toc_8" w:history="1">
        <w:r>
          <w:rPr>
            <w:color w:val="2563EB"/>
            <w:u w:val="single"/>
            <w:sz w:val="18"/>
          </w:rPr>
          <w:t>Почему выбран этот профиль</w:t>
        </w:r>
      </w:hyperlink>
    </w:p>
    <w:p>
      <w:pPr>
        <w:spacing w:after="60"/>
        <w:ind w:left="0"/>
      </w:pPr>
      <w:hyperlink w:anchor="seoskop_toc_9" w:history="1">
        <w:r>
          <w:rPr>
            <w:color w:val="2563EB"/>
            <w:u w:val="single"/>
            <w:sz w:val="20"/>
          </w:rPr>
          <w:t>4. Исходные данные аудита</w:t>
        </w:r>
      </w:hyperlink>
    </w:p>
    <w:p>
      <w:pPr>
        <w:spacing w:after="60"/>
        <w:ind w:left="0"/>
      </w:pPr>
      <w:hyperlink w:anchor="seoskop_toc_10" w:history="1">
        <w:r>
          <w:rPr>
            <w:color w:val="2563EB"/>
            <w:u w:val="single"/>
            <w:sz w:val="20"/>
          </w:rPr>
          <w:t>5. Первый экран на разных устройствах</w:t>
        </w:r>
      </w:hyperlink>
    </w:p>
    <w:p>
      <w:pPr>
        <w:spacing w:after="60"/>
        <w:ind w:left="0"/>
      </w:pPr>
      <w:hyperlink w:anchor="seoskop_toc_11" w:history="1">
        <w:r>
          <w:rPr>
            <w:color w:val="2563EB"/>
            <w:u w:val="single"/>
            <w:sz w:val="20"/>
          </w:rPr>
          <w:t>6. Скорость загрузки и мобильная версия</w:t>
        </w:r>
      </w:hyperlink>
    </w:p>
    <w:p>
      <w:pPr>
        <w:spacing w:after="60"/>
        <w:ind w:left="0"/>
      </w:pPr>
      <w:hyperlink w:anchor="seoskop_toc_12" w:history="1">
        <w:r>
          <w:rPr>
            <w:color w:val="2563EB"/>
            <w:u w:val="single"/>
            <w:sz w:val="20"/>
          </w:rPr>
          <w:t>7. Онлайн-проверка favicon, микроразметки и типовых страниц</w:t>
        </w:r>
      </w:hyperlink>
    </w:p>
    <w:p>
      <w:pPr>
        <w:spacing w:after="60"/>
        <w:ind w:left="360"/>
      </w:pPr>
      <w:hyperlink w:anchor="seoskop_toc_13" w:history="1">
        <w:r>
          <w:rPr>
            <w:color w:val="2563EB"/>
            <w:u w:val="single"/>
            <w:sz w:val="18"/>
          </w:rPr>
          <w:t>Возраст и регистрационные данные домена</w:t>
        </w:r>
      </w:hyperlink>
    </w:p>
    <w:p>
      <w:pPr>
        <w:spacing w:after="60"/>
        <w:ind w:left="360"/>
      </w:pPr>
      <w:hyperlink w:anchor="seoskop_toc_14" w:history="1">
        <w:r>
          <w:rPr>
            <w:color w:val="2563EB"/>
            <w:u w:val="single"/>
            <w:sz w:val="18"/>
          </w:rPr>
          <w:t>Favicon для браузеров и устройств</w:t>
        </w:r>
      </w:hyperlink>
    </w:p>
    <w:p>
      <w:pPr>
        <w:spacing w:after="60"/>
        <w:ind w:left="360"/>
      </w:pPr>
      <w:hyperlink w:anchor="seoskop_toc_15" w:history="1">
        <w:r>
          <w:rPr>
            <w:color w:val="2563EB"/>
            <w:u w:val="single"/>
            <w:sz w:val="18"/>
          </w:rPr>
          <w:t>Микроразметка на проверенных страницах</w:t>
        </w:r>
      </w:hyperlink>
    </w:p>
    <w:p>
      <w:pPr>
        <w:spacing w:after="60"/>
        <w:ind w:left="360"/>
      </w:pPr>
      <w:hyperlink w:anchor="seoskop_toc_16" w:history="1">
        <w:r>
          <w:rPr>
            <w:color w:val="2563EB"/>
            <w:u w:val="single"/>
            <w:sz w:val="18"/>
          </w:rPr>
          <w:t>Коммерческие факторы и названия блоков</w:t>
        </w:r>
      </w:hyperlink>
    </w:p>
    <w:p>
      <w:pPr>
        <w:spacing w:after="60"/>
        <w:ind w:left="360"/>
      </w:pPr>
      <w:hyperlink w:anchor="seoskop_toc_17" w:history="1">
        <w:r>
          <w:rPr>
            <w:color w:val="2563EB"/>
            <w:u w:val="single"/>
            <w:sz w:val="18"/>
          </w:rPr>
          <w:t>Типовые страницы по виду сайта</w:t>
        </w:r>
      </w:hyperlink>
    </w:p>
    <w:p>
      <w:pPr>
        <w:spacing w:after="60"/>
        <w:ind w:left="360"/>
      </w:pPr>
      <w:hyperlink w:anchor="seoskop_toc_18" w:history="1">
        <w:r>
          <w:rPr>
            <w:color w:val="2563EB"/>
            <w:u w:val="single"/>
            <w:sz w:val="18"/>
          </w:rPr>
          <w:t>Структура заголовков типовых страниц</w:t>
        </w:r>
      </w:hyperlink>
    </w:p>
    <w:p>
      <w:pPr>
        <w:spacing w:after="60"/>
        <w:ind w:left="0"/>
      </w:pPr>
      <w:hyperlink w:anchor="seoskop_toc_19" w:history="1">
        <w:r>
          <w:rPr>
            <w:color w:val="2563EB"/>
            <w:u w:val="single"/>
            <w:sz w:val="20"/>
          </w:rPr>
          <w:t>8. Карта внутренней перелинковки</w:t>
        </w:r>
      </w:hyperlink>
    </w:p>
    <w:p>
      <w:pPr>
        <w:spacing w:after="60"/>
        <w:ind w:left="360"/>
      </w:pPr>
      <w:hyperlink w:anchor="seoskop_toc_20" w:history="1">
        <w:r>
          <w:rPr>
            <w:color w:val="2563EB"/>
            <w:u w:val="single"/>
            <w:sz w:val="18"/>
          </w:rPr>
          <w:t>Главные узлы внутреннего веса</w:t>
        </w:r>
      </w:hyperlink>
    </w:p>
    <w:p>
      <w:pPr>
        <w:spacing w:after="60"/>
        <w:ind w:left="360"/>
      </w:pPr>
      <w:hyperlink w:anchor="seoskop_toc_21" w:history="1">
        <w:r>
          <w:rPr>
            <w:color w:val="2563EB"/>
            <w:u w:val="single"/>
            <w:sz w:val="18"/>
          </w:rPr>
          <w:t>Рекомендуемые новые связи</w:t>
        </w:r>
      </w:hyperlink>
    </w:p>
    <w:p>
      <w:pPr>
        <w:spacing w:after="60"/>
        <w:ind w:left="0"/>
      </w:pPr>
      <w:hyperlink w:anchor="seoskop_toc_22" w:history="1">
        <w:r>
          <w:rPr>
            <w:color w:val="2563EB"/>
            <w:u w:val="single"/>
            <w:sz w:val="20"/>
          </w:rPr>
          <w:t>9. Анализ блога и контентного кластера</w:t>
        </w:r>
      </w:hyperlink>
    </w:p>
    <w:p>
      <w:pPr>
        <w:spacing w:after="60"/>
        <w:ind w:left="360"/>
      </w:pPr>
      <w:hyperlink w:anchor="seoskop_toc_23" w:history="1">
        <w:r>
          <w:rPr>
            <w:color w:val="2563EB"/>
            <w:u w:val="single"/>
            <w:sz w:val="18"/>
          </w:rPr>
          <w:t>Что проверить в существующем блоге</w:t>
        </w:r>
      </w:hyperlink>
    </w:p>
    <w:p>
      <w:pPr>
        <w:spacing w:after="60"/>
        <w:ind w:left="360"/>
      </w:pPr>
      <w:hyperlink w:anchor="seoskop_toc_24" w:history="1">
        <w:r>
          <w:rPr>
            <w:color w:val="2563EB"/>
            <w:u w:val="single"/>
            <w:sz w:val="18"/>
          </w:rPr>
          <w:t>Динамика публикаций</w:t>
        </w:r>
      </w:hyperlink>
    </w:p>
    <w:p>
      <w:pPr>
        <w:spacing w:after="60"/>
        <w:ind w:left="360"/>
      </w:pPr>
      <w:hyperlink w:anchor="seoskop_toc_25" w:history="1">
        <w:r>
          <w:rPr>
            <w:color w:val="2563EB"/>
            <w:u w:val="single"/>
            <w:sz w:val="18"/>
          </w:rPr>
          <w:t>Предложения по новым материалам</w:t>
        </w:r>
      </w:hyperlink>
    </w:p>
    <w:p>
      <w:pPr>
        <w:spacing w:after="60"/>
        <w:ind w:left="360"/>
      </w:pPr>
      <w:hyperlink w:anchor="seoskop_toc_26" w:history="1">
        <w:r>
          <w:rPr>
            <w:color w:val="2563EB"/>
            <w:u w:val="single"/>
            <w:sz w:val="18"/>
          </w:rPr>
          <w:t>Статьи для приоритетной проверки</w:t>
        </w:r>
      </w:hyperlink>
    </w:p>
    <w:p>
      <w:pPr>
        <w:spacing w:after="60"/>
        <w:ind w:left="0"/>
      </w:pPr>
      <w:hyperlink w:anchor="seoskop_toc_27" w:history="1">
        <w:r>
          <w:rPr>
            <w:color w:val="2563EB"/>
            <w:u w:val="single"/>
            <w:sz w:val="20"/>
          </w:rPr>
          <w:t>10. Сравнение с конкурентами</w:t>
        </w:r>
      </w:hyperlink>
    </w:p>
    <w:p>
      <w:pPr>
        <w:spacing w:after="60"/>
        <w:ind w:left="0"/>
      </w:pPr>
      <w:hyperlink w:anchor="seoskop_toc_28" w:history="1">
        <w:r>
          <w:rPr>
            <w:color w:val="2563EB"/>
            <w:u w:val="single"/>
            <w:sz w:val="20"/>
          </w:rPr>
          <w:t>11. Найденные ошибки и рекомендации</w:t>
        </w:r>
      </w:hyperlink>
    </w:p>
    <w:p>
      <w:pPr>
        <w:spacing w:after="60"/>
        <w:ind w:left="360"/>
      </w:pPr>
      <w:hyperlink w:anchor="seoskop_toc_29" w:history="1">
        <w:r>
          <w:rPr>
            <w:color w:val="2563EB"/>
            <w:u w:val="single"/>
            <w:sz w:val="18"/>
          </w:rPr>
          <w:t>Sitemap</w:t>
        </w:r>
      </w:hyperlink>
    </w:p>
    <w:p>
      <w:pPr>
        <w:spacing w:after="60"/>
        <w:ind w:left="360"/>
      </w:pPr>
      <w:hyperlink w:anchor="seoskop_toc_30" w:history="1">
        <w:r>
          <w:rPr>
            <w:color w:val="2563EB"/>
            <w:u w:val="single"/>
            <w:sz w:val="18"/>
          </w:rPr>
          <w:t>Скорость</w:t>
        </w:r>
      </w:hyperlink>
    </w:p>
    <w:p>
      <w:pPr>
        <w:spacing w:after="60"/>
        <w:ind w:left="360"/>
      </w:pPr>
      <w:hyperlink w:anchor="seoskop_toc_31" w:history="1">
        <w:r>
          <w:rPr>
            <w:color w:val="2563EB"/>
            <w:u w:val="single"/>
            <w:sz w:val="18"/>
          </w:rPr>
          <w:t>Метатеги</w:t>
        </w:r>
      </w:hyperlink>
    </w:p>
    <w:p>
      <w:pPr>
        <w:spacing w:after="60"/>
        <w:ind w:left="360"/>
      </w:pPr>
      <w:hyperlink w:anchor="seoskop_toc_32" w:history="1">
        <w:r>
          <w:rPr>
            <w:color w:val="2563EB"/>
            <w:u w:val="single"/>
            <w:sz w:val="18"/>
          </w:rPr>
          <w:t>Микроразметка</w:t>
        </w:r>
      </w:hyperlink>
    </w:p>
    <w:p>
      <w:pPr>
        <w:spacing w:after="60"/>
        <w:ind w:left="360"/>
      </w:pPr>
      <w:hyperlink w:anchor="seoskop_toc_33" w:history="1">
        <w:r>
          <w:rPr>
            <w:color w:val="2563EB"/>
            <w:u w:val="single"/>
            <w:sz w:val="18"/>
          </w:rPr>
          <w:t>Коммерческие факторы</w:t>
        </w:r>
      </w:hyperlink>
    </w:p>
    <w:p>
      <w:pPr>
        <w:spacing w:after="60"/>
        <w:ind w:left="360"/>
      </w:pPr>
      <w:hyperlink w:anchor="seoskop_toc_34" w:history="1">
        <w:r>
          <w:rPr>
            <w:color w:val="2563EB"/>
            <w:u w:val="single"/>
            <w:sz w:val="18"/>
          </w:rPr>
          <w:t>Региональность</w:t>
        </w:r>
      </w:hyperlink>
    </w:p>
    <w:p>
      <w:pPr>
        <w:spacing w:after="60"/>
        <w:ind w:left="360"/>
      </w:pPr>
      <w:hyperlink w:anchor="seoskop_toc_35" w:history="1">
        <w:r>
          <w:rPr>
            <w:color w:val="2563EB"/>
            <w:u w:val="single"/>
            <w:sz w:val="18"/>
          </w:rPr>
          <w:t>Изображения</w:t>
        </w:r>
      </w:hyperlink>
    </w:p>
    <w:p>
      <w:pPr>
        <w:spacing w:after="60"/>
        <w:ind w:left="360"/>
      </w:pPr>
      <w:hyperlink w:anchor="seoskop_toc_36" w:history="1">
        <w:r>
          <w:rPr>
            <w:color w:val="2563EB"/>
            <w:u w:val="single"/>
            <w:sz w:val="18"/>
          </w:rPr>
          <w:t>Favicon и брендирование</w:t>
        </w:r>
      </w:hyperlink>
    </w:p>
    <w:p>
      <w:pPr>
        <w:spacing w:after="60"/>
        <w:ind w:left="0"/>
      </w:pPr>
      <w:hyperlink w:anchor="seoskop_toc_37" w:history="1">
        <w:r>
          <w:rPr>
            <w:color w:val="2563EB"/>
            <w:u w:val="single"/>
            <w:sz w:val="20"/>
          </w:rPr>
          <w:t>12. План внедрения и контроль результата</w:t>
        </w:r>
      </w:hyperlink>
    </w:p>
    <w:p>
      <w:pPr>
        <w:spacing w:after="60"/>
        <w:ind w:left="0"/>
      </w:pPr>
      <w:hyperlink w:anchor="seoskop_toc_38" w:history="1">
        <w:r>
          <w:rPr>
            <w:color w:val="2563EB"/>
            <w:u w:val="single"/>
            <w:sz w:val="20"/>
          </w:rPr>
          <w:t>13. Точки роста после технического этапа</w:t>
        </w:r>
      </w:hyperlink>
    </w:p>
    <w:p>
      <w:pPr>
        <w:spacing w:after="60"/>
        <w:ind w:left="0"/>
      </w:pPr>
      <w:hyperlink w:anchor="seoskop_toc_39" w:history="1">
        <w:r>
          <w:rPr>
            <w:color w:val="2563EB"/>
            <w:u w:val="single"/>
            <w:sz w:val="20"/>
          </w:rPr>
          <w:t>14. Данные для подтверждения результата</w:t>
        </w:r>
      </w:hyperlink>
    </w:p>
    <w:p>
      <w:pPr>
        <w:spacing w:after="60"/>
        <w:ind w:left="0"/>
      </w:pPr>
      <w:hyperlink w:anchor="seoskop_toc_40" w:history="1">
        <w:r>
          <w:rPr>
            <w:color w:val="2563EB"/>
            <w:u w:val="single"/>
            <w:sz w:val="20"/>
          </w:rPr>
          <w:t>15. Экспертный анализ и приоритеты роста</w:t>
        </w:r>
      </w:hyperlink>
    </w:p>
    <w:p>
      <w:pPr>
        <w:spacing w:after="60"/>
        <w:ind w:left="360"/>
      </w:pPr>
      <w:hyperlink w:anchor="seoskop_toc_41" w:history="1">
        <w:r>
          <w:rPr>
            <w:color w:val="2563EB"/>
            <w:u w:val="single"/>
            <w:sz w:val="18"/>
          </w:rPr>
          <w:t>1. [P0] Связать каталог с итоговой ценой монтажа</w:t>
        </w:r>
      </w:hyperlink>
    </w:p>
    <w:p>
      <w:pPr>
        <w:spacing w:after="60"/>
        <w:ind w:left="360"/>
      </w:pPr>
      <w:hyperlink w:anchor="seoskop_toc_42" w:history="1">
        <w:r>
          <w:rPr>
            <w:color w:val="2563EB"/>
            <w:u w:val="single"/>
            <w:sz w:val="18"/>
          </w:rPr>
          <w:t>2. [P1] Усилить локальные доказательства</w:t>
        </w:r>
      </w:hyperlink>
    </w:p>
    <w:p>
      <w:pPr>
        <w:spacing w:after="60"/>
        <w:ind w:left="0"/>
      </w:pPr>
      <w:hyperlink w:anchor="seoskop_toc_43" w:history="1">
        <w:r>
          <w:rPr>
            <w:color w:val="2563EB"/>
            <w:u w:val="single"/>
            <w:sz w:val="20"/>
          </w:rPr>
          <w:t>Итоговый вывод и последовательность действий</w:t>
        </w:r>
      </w:hyperlink>
    </w:p>
    <w:p>
      <w:r>
        <w:br w:type="page"/>
      </w:r>
    </w:p>
    <w:p>
      <w:bookmarkStart w:id="5001" w:name="seoskop_toc_1"/>
      <w:pPr>
        <w:pStyle w:val="Heading1"/>
      </w:pPr>
      <w:r>
        <w:t>1. Краткое резюме по сайту</w:t>
      </w:r>
      <w:bookmarkEnd w:id="5001"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FF7ED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9A3412"/>
                <w:sz w:val="18"/>
              </w:rPr>
              <w:t>Примечание: ВЫБОРОЧНЫЙ АУДИТ: проверено 450 из 520 известных URL (86.5%). Количество ошибок относится к выборке, а не ко всему сайту.</w:t>
            </w:r>
          </w:p>
        </w:tc>
      </w:tr>
    </w:tbl>
    <w:p>
      <w:pPr>
        <w:spacing w:after="0"/>
      </w:pP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324"/>
            <w:shd w:fill="F8FAFC"/>
            <w:tcMar>
              <w:top w:w="11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40"/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1278000" cy="1278000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.primer-seo-audita-seoskop_scor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8000" cy="1278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jc w:val="center"/>
            </w:pPr>
            <w:r>
              <w:rPr>
                <w:rFonts w:ascii="Arial" w:hAnsi="Arial"/>
                <w:b/>
                <w:color w:val="F59E0B"/>
                <w:sz w:val="18"/>
              </w:rPr>
              <w:t>Требуется системная доработка</w:t>
            </w:r>
          </w:p>
        </w:tc>
        <w:tc>
          <w:tcPr>
            <w:tcW w:type="dxa" w:w="703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8324B"/>
                <w:sz w:val="20"/>
              </w:rPr>
              <w:t>Статус проверки: Требуется системная доработка</w:t>
              <w:br/>
              <w:br/>
              <w:t>Интернет-магазин demo-climat.ru: техническая оценка 66/100 — требуется системная доработка. Найдены приоритетные ограничения, которые могут влиять на индексацию, видимость, скорость или конверсию. Основная концентрация замечаний: Sitemap, Скорость, Метатеги. P1: 2, P2: 4. Для магазина повышен вес категорий, карточек, фильтров, canonical, наличия и покупки. Оценка относится к выборке 450 из 520 известных URL (86.5%); абсолютные значения нельзя переносить на непросканированную часть сайта. Не загружены: аналитика и панели вебмастеров, позиции, семантика, внешний ссылочный профиль; эти направления отмечены как «не оценивалось» и технический балл не снижали.</w:t>
            </w:r>
          </w:p>
        </w:tc>
      </w:tr>
    </w:tbl>
    <w:p>
      <w:pPr>
        <w:spacing w:before="140"/>
      </w:pPr>
      <w:r>
        <w:rPr>
          <w:rFonts w:ascii="Arial" w:hAnsi="Arial"/>
          <w:b/>
          <w:color w:val="18324B"/>
          <w:sz w:val="19"/>
        </w:rPr>
        <w:t>Для бизнеса это означает: часть поискового потенциала может теряться на обходе, индексировании и дублях; сниппеты и релевантность посадочных могут быть слабее конкурентов; мобильная загрузка и путь до целевого действия могут снижать конверсию.</w:t>
      </w:r>
    </w:p>
    <w:p>
      <w:pPr>
        <w:spacing w:before="80"/>
      </w:pPr>
      <w:r>
        <w:rPr>
          <w:rFonts w:ascii="Arial" w:hAnsi="Arial"/>
          <w:b/>
          <w:color w:val="18324B"/>
          <w:sz w:val="21"/>
        </w:rPr>
        <w:t>Ключевые риски, требующие внимания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0"/>
        <w:gridCol w:w="2030"/>
        <w:gridCol w:w="2030"/>
        <w:gridCol w:w="2030"/>
        <w:gridCol w:w="2030"/>
      </w:tblGrid>
      <w:tr>
        <w:trPr>
          <w:tblHeader w:val="true"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Приоритет</w:t>
            </w:r>
          </w:p>
        </w:tc>
        <w:tc>
          <w:tcPr>
            <w:tcW w:type="dxa" w:w="153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Направление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Ключевая проблема</w:t>
            </w:r>
          </w:p>
        </w:tc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Факт / масштаб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Первое действие</w:t>
            </w:r>
          </w:p>
        </w:tc>
      </w:tr>
      <w:tr>
        <w:trPr>
          <w:cantSplit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1C1C"/>
                <w:sz w:val="17"/>
              </w:rPr>
              <w:t>P1</w:t>
            </w:r>
          </w:p>
        </w:tc>
        <w:tc>
          <w:tcPr>
            <w:tcW w:type="dxa" w:w="153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Скорость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LCP выше рекомендуемого порога: 3,6 с</w:t>
            </w:r>
          </w:p>
        </w:tc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1 из 1 (100.0%)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Оптимизировать hero, preload ключевого изображения, критический CSS и серверный ответ.</w:t>
            </w:r>
          </w:p>
        </w:tc>
      </w:tr>
      <w:tr>
        <w:trPr>
          <w:cantSplit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1C1C"/>
                <w:sz w:val="17"/>
              </w:rPr>
              <w:t>P1</w:t>
            </w:r>
          </w:p>
        </w:tc>
        <w:tc>
          <w:tcPr>
            <w:tcW w:type="dxa" w:w="1531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Sitemap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Некачественные URL в sitemap</w:t>
            </w:r>
          </w:p>
        </w:tc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28 из 520 (5.4%)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Оставить только канонические индексируемые HTML-страницы с кодом 200.</w:t>
            </w:r>
          </w:p>
        </w:tc>
      </w:tr>
      <w:tr>
        <w:trPr>
          <w:cantSplit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C2410C"/>
                <w:sz w:val="17"/>
              </w:rPr>
              <w:t>P2</w:t>
            </w:r>
          </w:p>
        </w:tc>
        <w:tc>
          <w:tcPr>
            <w:tcW w:type="dxa" w:w="153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Коммерческие факторы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Не везде указана итоговая стоимость монтажа</w:t>
            </w:r>
          </w:p>
        </w:tc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2 из 4 (50.0%)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Раскрыть стандартный монтаж, дополнительные работы и пример расчета.</w:t>
            </w:r>
          </w:p>
        </w:tc>
      </w:tr>
      <w:tr>
        <w:trPr>
          <w:cantSplit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C2410C"/>
                <w:sz w:val="17"/>
              </w:rPr>
              <w:t>P2</w:t>
            </w:r>
          </w:p>
        </w:tc>
        <w:tc>
          <w:tcPr>
            <w:tcW w:type="dxa" w:w="1531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Микроразметка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Неполная Product/Offer и отсутствует Service</w:t>
            </w:r>
          </w:p>
        </w:tc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2 из 4 (50.0%)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Добавить availability, priceValidUntil, seller, Service и areaServed.</w:t>
            </w:r>
          </w:p>
        </w:tc>
      </w:tr>
      <w:tr>
        <w:trPr>
          <w:cantSplit/>
        </w:trPr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C2410C"/>
                <w:sz w:val="17"/>
              </w:rPr>
              <w:t>P2</w:t>
            </w:r>
          </w:p>
        </w:tc>
        <w:tc>
          <w:tcPr>
            <w:tcW w:type="dxa" w:w="153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Метатеги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Слишком длинные Title</w:t>
            </w:r>
          </w:p>
        </w:tc>
        <w:tc>
          <w:tcPr>
            <w:tcW w:type="dxa" w:w="158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86 из 410 (21.0%)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Сократить шаблон до основного интента, типа, бренда и региона.</w:t>
            </w:r>
          </w:p>
        </w:tc>
      </w:tr>
    </w:tbl>
    <w:p>
      <w:pPr>
        <w:spacing w:before="120"/>
      </w:pPr>
      <w:r>
        <w:rPr>
          <w:rFonts w:ascii="Arial" w:hAnsi="Arial"/>
          <w:b/>
          <w:color w:val="18324B"/>
          <w:sz w:val="21"/>
        </w:rPr>
        <w:t>Подтвержденные сильные стороны</w:t>
      </w:r>
    </w:p>
    <w:p>
      <w:pPr>
        <w:pStyle w:val="ListBullet"/>
        <w:spacing w:after="20"/>
      </w:pPr>
      <w:r>
        <w:rPr>
          <w:rFonts w:ascii="Arial" w:hAnsi="Arial"/>
          <w:sz w:val="17"/>
        </w:rPr>
        <w:t>В проверенной выборке не выявлено массовой группы ошибок 4xx/5xx на основных страницах.</w:t>
      </w:r>
    </w:p>
    <w:p>
      <w:pPr>
        <w:pStyle w:val="ListBullet"/>
        <w:spacing w:after="20"/>
      </w:pPr>
      <w:r>
        <w:rPr>
          <w:rFonts w:ascii="Arial" w:hAnsi="Arial"/>
          <w:sz w:val="17"/>
        </w:rPr>
        <w:t>Первый экран имеет заметную визуальную основу: автоматическая оценка 84/100 без учета скорости; вывод подтверждается приложенными скриншотами.</w:t>
      </w:r>
    </w:p>
    <w:p>
      <w:pPr>
        <w:pStyle w:val="ListBullet"/>
        <w:spacing w:after="20"/>
      </w:pPr>
      <w:r>
        <w:rPr>
          <w:rFonts w:ascii="Arial" w:hAnsi="Arial"/>
          <w:sz w:val="17"/>
        </w:rPr>
        <w:t>Обнаружена рабочая каталожная база: проверено карточек товаров — 1, категорий или листингов — 1; структуру можно развивать без проектирования с нуля.</w:t>
      </w:r>
    </w:p>
    <w:p>
      <w:pPr>
        <w:pStyle w:val="ListBullet"/>
        <w:spacing w:after="20"/>
      </w:pPr>
      <w:r>
        <w:rPr>
          <w:rFonts w:ascii="Arial" w:hAnsi="Arial"/>
          <w:sz w:val="17"/>
        </w:rPr>
        <w:t>Технология сайта определена как 1С-Битрикс; технические задачи можно привязать к шаблонам и компонентам CMS.</w:t>
      </w:r>
    </w:p>
    <w:p>
      <w:pPr>
        <w:pStyle w:val="ListBullet"/>
        <w:spacing w:after="20"/>
      </w:pPr>
      <w:r>
        <w:rPr>
          <w:rFonts w:ascii="Arial" w:hAnsi="Arial"/>
          <w:sz w:val="17"/>
        </w:rPr>
        <w:t>Не подтверждено массовое закрытие сайта от Googlebot и Yandex правилами robots.txt.</w:t>
      </w:r>
    </w:p>
    <w:p>
      <w:pPr>
        <w:spacing w:before="100"/>
      </w:pPr>
      <w:r>
        <w:rPr>
          <w:rFonts w:ascii="Arial" w:hAnsi="Arial"/>
          <w:b/>
          <w:color w:val="18324B"/>
          <w:sz w:val="21"/>
        </w:rPr>
        <w:t>Охват и методика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Источник / охват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Факт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Как интерпретировать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Режим данных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Загруженные файлы краулера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Режим определяет источник URL и способ интерпретации охвата.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Область аудита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450 из 520 известных URL (86.5%)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Охват относится к переданным файлам и не доказывает полный обход всего сайта.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Успешные HTML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—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Title, Description, H1, canonical и текст оцениваются только для успешно полученных HTML-страниц.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Ошибочные HTML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0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4xx/5xx учитываются в доступности, но не объявляются страницами без метатегов.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Источники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Загружено файлов: 0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Дополнительные источники без загрузки отмечаются как «не оценивалось» и не снижают балл.</w:t>
            </w:r>
          </w:p>
        </w:tc>
      </w:tr>
      <w:tr>
        <w:trPr>
          <w:cantSplit/>
        </w:trPr>
        <w:tc>
          <w:tcPr>
            <w:tcW w:type="dxa" w:w="187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Скорость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локальный Lighthouse · mobile · 31.07.2026 12:00</w:t>
            </w:r>
          </w:p>
        </w:tc>
        <w:tc>
          <w:tcPr>
            <w:tcW w:type="dxa" w:w="538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Лабораторные значения могут различаться между запусками; в отчете фиксируется источник проверки.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Сводная оценка рассчитывается по количеству, приоритету и масштабу найденных замечаний. Она предназначена для быстрой ориентации и не заменяет экспертную оценку бизнеса и семантики.</w:t>
      </w:r>
    </w:p>
    <w:p>
      <w:bookmarkStart w:id="5002" w:name="seoskop_toc_2"/>
      <w:pPr>
        <w:pStyle w:val="Heading1"/>
      </w:pPr>
      <w:r>
        <w:t>2. Карта рисков и ключевые показатели</w:t>
      </w:r>
      <w:bookmarkEnd w:id="5002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3118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66</w:t>
              <w:br/>
              <w:t>Техническая оценка по выборке</w:t>
            </w:r>
          </w:p>
        </w:tc>
        <w:tc>
          <w:tcPr>
            <w:tcW w:type="dxa" w:w="3118"/>
            <w:shd w:fill="F8FAFC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8</w:t>
              <w:br/>
              <w:t>Всего замечаний</w:t>
            </w:r>
          </w:p>
        </w:tc>
        <w:tc>
          <w:tcPr>
            <w:tcW w:type="dxa" w:w="3118"/>
            <w:shd w:fill="FEE2E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2</w:t>
              <w:br/>
              <w:t>P1 критичные</w:t>
            </w:r>
          </w:p>
        </w:tc>
      </w:tr>
      <w:tr>
        <w:tc>
          <w:tcPr>
            <w:tcW w:type="dxa" w:w="3118"/>
            <w:shd w:fill="FFEDD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4</w:t>
              <w:br/>
              <w:t>P2 важные</w:t>
            </w:r>
          </w:p>
        </w:tc>
        <w:tc>
          <w:tcPr>
            <w:tcW w:type="dxa" w:w="3118"/>
            <w:shd w:fill="F3F4F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2</w:t>
              <w:br/>
              <w:t>P3 дополнительные</w:t>
            </w:r>
          </w:p>
        </w:tc>
        <w:tc>
          <w:tcPr>
            <w:tcW w:type="dxa" w:w="3118"/>
            <w:shd w:fill="E0F2FE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86.5%</w:t>
              <w:br/>
              <w:t>Подтвержденный охват</w:t>
            </w:r>
          </w:p>
        </w:tc>
      </w:tr>
      <w:tr>
        <w:tc>
          <w:tcPr>
            <w:tcW w:type="dxa" w:w="3118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0</w:t>
              <w:br/>
              <w:t>Принято файлов</w:t>
            </w:r>
          </w:p>
        </w:tc>
        <w:tc>
          <w:tcPr>
            <w:tcW w:type="dxa" w:w="3118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—</w:t>
              <w:br/>
              <w:t>Успешные HTML для on-page</w:t>
            </w:r>
          </w:p>
        </w:tc>
        <w:tc>
          <w:tcPr>
            <w:tcW w:type="dxa" w:w="3118"/>
            <w:shd w:fill="FEF3C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color w:val="18324B"/>
                <w:sz w:val="18"/>
              </w:rPr>
              <w:t>84</w:t>
              <w:br/>
              <w:t>Визуальный первый экран</w:t>
            </w:r>
          </w:p>
        </w:tc>
      </w:tr>
    </w:tbl>
    <w:p>
      <w:pPr>
        <w:spacing w:before="120"/>
      </w:pPr>
      <w:r>
        <w:rPr>
          <w:rFonts w:ascii="Arial" w:hAnsi="Arial"/>
          <w:b/>
          <w:color w:val="18324B"/>
          <w:sz w:val="21"/>
        </w:rPr>
        <w:t>Оценка по направлениям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Направление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Вес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Оценка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Интерпретация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Доступность и индексация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20%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72/100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Точки роста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Краулинг и архитектура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16%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77/100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Точки роста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On-page SEO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16%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74/100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Точки роста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Скорость и мобильность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16%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18/100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Высокий риск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Контент, AEO и GEO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10%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100/100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Стабильно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Микроразметка и доверие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8%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63/100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Нужна доработка</w:t>
            </w:r>
          </w:p>
        </w:tc>
      </w:tr>
      <w:tr>
        <w:trPr>
          <w:cantSplit/>
        </w:trPr>
        <w:tc>
          <w:tcPr>
            <w:tcW w:type="dxa" w:w="37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UX и коммерческие факторы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14%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67/100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Нужна доработка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Итоговый балл является взвешенным результатом семи направлений. Масштаб ошибки, тип сайта и повторение одной первопричины учитываются отдельно; единичная проблема не оценивается как массовая.</w:t>
      </w:r>
    </w:p>
    <w:p>
      <w:pPr>
        <w:spacing w:before="140"/>
        <w:jc w:val="center"/>
      </w:pPr>
      <w:r>
        <w:drawing>
          <wp:inline xmlns:a="http://schemas.openxmlformats.org/drawingml/2006/main" xmlns:pic="http://schemas.openxmlformats.org/drawingml/2006/picture">
            <wp:extent cx="5760000" cy="3523200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.primer-seo-audita-seoskop_risks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5232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tblHeader w:val="true"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Раздел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Количество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Приоритет работ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Sitemap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P1 - критичные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Скорость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P1 - критичные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Метатеги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P2 - важные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Микроразметка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P2 - важные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Коммерческие факторы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P2 - важные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Региональность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P2 - важные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Изображения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3F4F6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P3 - дополнительные</w:t>
            </w:r>
          </w:p>
        </w:tc>
      </w:tr>
      <w:tr>
        <w:trPr>
          <w:cantSplit/>
        </w:trPr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Favicon и брендирование</w:t>
            </w:r>
          </w:p>
        </w:tc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1</w:t>
            </w:r>
          </w:p>
        </w:tc>
        <w:tc>
          <w:tcPr>
            <w:tcW w:type="dxa" w:w="3969"/>
            <w:tcMar>
              <w:top w:w="90" w:type="dxa"/>
              <w:start w:w="90" w:type="dxa"/>
              <w:bottom w:w="90" w:type="dxa"/>
              <w:end w:w="90" w:type="dxa"/>
            </w:tcMar>
            <w:shd w:fill="F3F4F6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P3 - дополнительные</w:t>
            </w:r>
          </w:p>
        </w:tc>
      </w:tr>
    </w:tbl>
    <w:p>
      <w:bookmarkStart w:id="5003" w:name="seoskop_toc_3"/>
      <w:pPr>
        <w:pStyle w:val="Heading1"/>
      </w:pPr>
      <w:r>
        <w:t>3. Тип сайта, тематика и региональность</w:t>
      </w:r>
      <w:bookmarkEnd w:id="500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3118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Специализированный интернет-магазин с монтажом и сервисом</w:t>
              <w:br/>
              <w:t>Бизнес-модель</w:t>
            </w:r>
          </w:p>
        </w:tc>
        <w:tc>
          <w:tcPr>
            <w:tcW w:type="dxa" w:w="3118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96%</w:t>
              <w:br/>
              <w:t>Уверенность типа</w:t>
            </w:r>
          </w:p>
        </w:tc>
        <w:tc>
          <w:tcPr>
            <w:tcW w:type="dxa" w:w="3118"/>
            <w:shd w:fill="F8FAFC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1С-Битрикс</w:t>
              <w:br/>
              <w:t>CMS / технология</w:t>
            </w:r>
          </w:p>
        </w:tc>
      </w:tr>
      <w:tr>
        <w:tc>
          <w:tcPr>
            <w:tcW w:type="dxa" w:w="3118"/>
            <w:shd w:fill="E0F2FE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Кондиционирование, вентиляция и климатическое оборудование</w:t>
              <w:br/>
              <w:t>Тематика</w:t>
            </w:r>
          </w:p>
        </w:tc>
        <w:tc>
          <w:tcPr>
            <w:tcW w:type="dxa" w:w="3118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98%</w:t>
              <w:br/>
              <w:t>Уверенность тематики</w:t>
            </w:r>
          </w:p>
        </w:tc>
        <w:tc>
          <w:tcPr>
            <w:tcW w:type="dxa" w:w="3118"/>
            <w:shd w:fill="EDE9FE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Локальный проект: Москва и Московская область</w:t>
              <w:br/>
              <w:t>Региональная модель</w:t>
            </w:r>
          </w:p>
        </w:tc>
      </w:tr>
      <w:tr>
        <w:tc>
          <w:tcPr>
            <w:tcW w:type="dxa" w:w="3118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428</w:t>
              <w:br/>
              <w:t>Основные SEO-страницы</w:t>
            </w:r>
          </w:p>
        </w:tc>
        <w:tc>
          <w:tcPr>
            <w:tcW w:type="dxa" w:w="3118"/>
            <w:shd w:fill="FEF3C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18</w:t>
              <w:br/>
              <w:t>Технические URL</w:t>
            </w:r>
          </w:p>
        </w:tc>
        <w:tc>
          <w:tcPr>
            <w:tcW w:type="dxa" w:w="3118"/>
            <w:shd w:fill="F8FAFC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4</w:t>
              <w:br/>
              <w:t>Юридические URL</w:t>
            </w:r>
          </w:p>
        </w:tc>
      </w:tr>
    </w:tbl>
    <w:p>
      <w:bookmarkStart w:id="5004" w:name="seoskop_toc_4"/>
      <w:pPr>
        <w:pStyle w:val="Heading2"/>
      </w:pPr>
      <w:r>
        <w:t>Нишевый профиль</w:t>
      </w:r>
      <w:bookmarkEnd w:id="5004"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FF7ED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9A3412"/>
                <w:sz w:val="18"/>
              </w:rPr>
              <w:t>Примечание: Кондиционирование, вентиляция и климатическое оборудование · уверенность 98%. Найдены признаки: кондиционеры, сплит-системы, монтаж, подбор по площади.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  <w:color w:val="5A5A5A"/>
          <w:sz w:val="17"/>
        </w:rPr>
        <w:t>Для этой тематики дополнительно проверяются: подбор по площади и мощности; цена оборудования и монтажа; гарантия; доставка и монтаж; сервисное обслуживание; регион обслуживания.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Группа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Что характерно для сильных сайтов ниши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Цена оборудования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Стоимость монтажа рядом с товаром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Наличие или срок поставки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Подбор по площади помещения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Мощность и производительность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Инвертор / On-Off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Доставка и зона обслуживания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Гарантия на технику и монтаж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Рассрочка, кредит или платеж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Продажа и выбор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Отзывы и рейтинг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Монтаж и сервис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Замер или консультация инженера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Монтаж и сервис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Монтаж под ключ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Монтаж и сервис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Чистка, ремонт и обслуживание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Монтаж и сервис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Срок установки или выезда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Монтаж и сервис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Фото, кейсы и выполненные объекты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Монтаж и сервис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Собственные инженеры или монтажные бригады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Доверие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Официальный дилер / легальный ввоз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Доверие</w:t>
            </w:r>
          </w:p>
        </w:tc>
        <w:tc>
          <w:tcPr>
            <w:tcW w:type="dxa" w:w="731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Сертификаты и заводская гарантия</w:t>
            </w:r>
          </w:p>
        </w:tc>
      </w:tr>
    </w:tbl>
    <w:p>
      <w:bookmarkStart w:id="5005" w:name="seoskop_toc_5"/>
      <w:pPr>
        <w:pStyle w:val="Heading3"/>
      </w:pPr>
      <w:r>
        <w:t>Наблюдаемые паттерны сильных сайтов ниши</w:t>
      </w:r>
      <w:bookmarkEnd w:id="5005"/>
    </w:p>
    <w:p>
      <w:pPr>
        <w:pStyle w:val="ListBullet"/>
        <w:spacing w:after="40"/>
      </w:pPr>
      <w:r>
        <w:rPr>
          <w:rFonts w:ascii="Arial" w:hAnsi="Arial"/>
          <w:sz w:val="17"/>
        </w:rPr>
        <w:t>каталог связан с монтажом, доставкой и сервисом, а не существует отдельно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цена, наличие, площадь и ключевые характеристики видны до перехода в карточку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в карточке раскрыта итоговая стоимость оборудования и монтажа либо понятен расчет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локальный оффер подтвержден адресом, телефоном, зонами выезда и кейсами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есть сценарии выбора по площади, типу помещения, мощности, бренду и бюджету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доверие подтверждают официальный статус, документы, гарантия и реальные инженеры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информационный контент переводит пользователя в подбор, каталог, замер или сервис</w:t>
      </w:r>
    </w:p>
    <w:p>
      <w:bookmarkStart w:id="5006" w:name="seoskop_toc_6"/>
      <w:pPr>
        <w:pStyle w:val="Heading3"/>
      </w:pPr>
      <w:r>
        <w:t>Что полезно перенять у крупных ритейлеров</w:t>
      </w:r>
      <w:bookmarkEnd w:id="5006"/>
    </w:p>
    <w:p>
      <w:pPr>
        <w:pStyle w:val="ListBullet"/>
        <w:spacing w:after="40"/>
      </w:pPr>
      <w:r>
        <w:rPr>
          <w:rFonts w:ascii="Arial" w:hAnsi="Arial"/>
          <w:sz w:val="17"/>
        </w:rPr>
        <w:t>глубокие фильтры и сравнение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остатки по магазинам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самовывоз и сроки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рейтинг и число отзывов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кредитный платеж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бонусы и акции</w:t>
      </w:r>
    </w:p>
    <w:p>
      <w:pPr>
        <w:pStyle w:val="ListBullet"/>
        <w:spacing w:after="40"/>
      </w:pPr>
      <w:r>
        <w:rPr>
          <w:rFonts w:ascii="Arial" w:hAnsi="Arial"/>
          <w:sz w:val="17"/>
        </w:rPr>
        <w:t>полные характеристики</w:t>
      </w:r>
    </w:p>
    <w:p>
      <w:pPr>
        <w:spacing w:after="80"/>
      </w:pPr>
      <w:r>
        <w:rPr>
          <w:rFonts w:ascii="Arial" w:hAnsi="Arial"/>
          <w:color w:val="5A5A5A"/>
          <w:sz w:val="17"/>
        </w:rPr>
        <w:t>Нишевой benchmark — ориентир для проверки полноты сайта, а не утверждение о причине текущих позиций в поиске. Поисковые позиции зависят также от спроса, истории домена, ссылок, поведения, региона и персонализации выдачи.</w:t>
      </w:r>
    </w:p>
    <w:p>
      <w:bookmarkStart w:id="5007" w:name="seoskop_toc_7"/>
      <w:pPr>
        <w:pStyle w:val="Heading2"/>
      </w:pPr>
      <w:r>
        <w:t>Региональность</w:t>
      </w:r>
      <w:bookmarkEnd w:id="5007"/>
    </w:p>
    <w:p>
      <w:pPr>
        <w:pStyle w:val="ListBullet"/>
        <w:spacing w:after="40"/>
      </w:pPr>
      <w:r>
        <w:rPr>
          <w:rFonts w:ascii="Arial" w:hAnsi="Arial"/>
          <w:sz w:val="18"/>
        </w:rPr>
        <w:t>Основной регион: Москва</w:t>
      </w:r>
    </w:p>
    <w:p>
      <w:pPr>
        <w:pStyle w:val="ListBullet"/>
        <w:spacing w:after="40"/>
      </w:pPr>
      <w:r>
        <w:rPr>
          <w:rFonts w:ascii="Arial" w:hAnsi="Arial"/>
          <w:sz w:val="18"/>
        </w:rPr>
        <w:t>Найдены зоны выезда по Москве и области</w:t>
      </w:r>
    </w:p>
    <w:p>
      <w:pPr>
        <w:pStyle w:val="ListBullet"/>
        <w:spacing w:after="40"/>
      </w:pPr>
      <w:r>
        <w:rPr>
          <w:rFonts w:ascii="Arial" w:hAnsi="Arial"/>
          <w:sz w:val="18"/>
        </w:rPr>
        <w:t>Локальный телефон +7 (495)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Региональный сигнал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Регион в оффере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Подтвержден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Локальный телефон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Подтвержден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Адрес / точка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Подтвержден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Зона выезда / доставки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Подтвержден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Локальные кейсы / отзывы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Не найден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Автоматическое покрытие региональных сигналов: 80%. Значение показывает наличие элементов, но не заменяет проверку настроек Яндекс Вебмастера, Яндекс Бизнеса, Google Business Profile и фактической видимости по региону.</w:t>
      </w:r>
    </w:p>
    <w:p>
      <w:pPr>
        <w:spacing w:after="80"/>
      </w:pPr>
      <w:r>
        <w:rPr>
          <w:rFonts w:ascii="Arial" w:hAnsi="Arial"/>
          <w:color w:val="5A5A5A"/>
          <w:sz w:val="17"/>
        </w:rPr>
        <w:t>Проверить: регион в Title, H1 и основном оффере; адрес, локальный телефон и режим работы текстом; реальные зоны выезда или доставки; региональные отзывы, кейсы и точки продаж; согласованность сайта с панелями вебмастеров и картами.</w:t>
      </w:r>
    </w:p>
    <w:p>
      <w:bookmarkStart w:id="5008" w:name="seoskop_toc_8"/>
      <w:pPr>
        <w:pStyle w:val="Heading2"/>
      </w:pPr>
      <w:r>
        <w:t>Почему выбран этот профиль</w:t>
      </w:r>
      <w:bookmarkEnd w:id="5008"/>
    </w:p>
    <w:p>
      <w:pPr>
        <w:pStyle w:val="ListBullet"/>
        <w:spacing w:after="40"/>
      </w:pPr>
      <w:r>
        <w:rPr>
          <w:rFonts w:ascii="Arial" w:hAnsi="Arial"/>
          <w:sz w:val="18"/>
        </w:rPr>
        <w:t>Найдены категории, карточки товаров, цены, наличие и покупка.</w:t>
      </w:r>
    </w:p>
    <w:p>
      <w:pPr>
        <w:pStyle w:val="ListBullet"/>
        <w:spacing w:after="40"/>
      </w:pPr>
      <w:r>
        <w:rPr>
          <w:rFonts w:ascii="Arial" w:hAnsi="Arial"/>
          <w:sz w:val="18"/>
        </w:rPr>
        <w:t>Монтаж, замер и сервис являются самостоятельными коммерческими направлениями.</w:t>
      </w:r>
    </w:p>
    <w:p>
      <w:pPr>
        <w:pStyle w:val="ListBullet"/>
        <w:spacing w:after="40"/>
      </w:pPr>
      <w:r>
        <w:rPr>
          <w:rFonts w:ascii="Arial" w:hAnsi="Arial"/>
          <w:sz w:val="18"/>
        </w:rPr>
        <w:t>Региональный оффер подтвержден московским телефоном, адресом и зонами выезда.</w:t>
      </w:r>
    </w:p>
    <w:p>
      <w:pPr>
        <w:spacing w:after="80"/>
      </w:pPr>
      <w:r>
        <w:rPr>
          <w:rFonts w:ascii="Arial" w:hAnsi="Arial"/>
          <w:color w:val="5A5A5A"/>
          <w:sz w:val="17"/>
        </w:rPr>
        <w:t>Признаки технологии: /bitrix/, /local/templates/, BX.ready. Уверенность: 99%.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FF7ED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9A3412"/>
                <w:sz w:val="18"/>
              </w:rPr>
              <w:t>Примечание: Для интернет-магазина повышен вес категорий, карточек, фильтров, цены, наличия, установки, Product/Offer, canonical и перелинковки.</w:t>
            </w:r>
          </w:p>
        </w:tc>
      </w:tr>
    </w:tbl>
    <w:p>
      <w:pPr>
        <w:spacing w:after="0"/>
      </w:pPr>
    </w:p>
    <w:p>
      <w:bookmarkStart w:id="5009" w:name="seoskop_toc_9"/>
      <w:pPr>
        <w:pStyle w:val="Heading1"/>
      </w:pPr>
      <w:r>
        <w:t>4. Исходные данные аудита</w:t>
      </w:r>
      <w:bookmarkEnd w:id="5009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2324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—</w:t>
              <w:br/>
              <w:t>Режим</w:t>
            </w:r>
          </w:p>
        </w:tc>
        <w:tc>
          <w:tcPr>
            <w:tcW w:type="dxa" w:w="2324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0</w:t>
              <w:br/>
              <w:t>Принято</w:t>
            </w:r>
          </w:p>
        </w:tc>
        <w:tc>
          <w:tcPr>
            <w:tcW w:type="dxa" w:w="2324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0</w:t>
              <w:br/>
              <w:t>Исключено</w:t>
            </w:r>
          </w:p>
        </w:tc>
        <w:tc>
          <w:tcPr>
            <w:tcW w:type="dxa" w:w="2324"/>
            <w:shd w:fill="FEF3C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7"/>
              </w:rPr>
              <w:t>86.5%</w:t>
              <w:br/>
              <w:t>Покрытие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rPr>
          <w:tblHeader w:val="true"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Тип данных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Файл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Строк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Проверка домена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internal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450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Домен не определен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page_titles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428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Домен не определен</w:t>
            </w:r>
          </w:p>
        </w:tc>
      </w:tr>
      <w:tr>
        <w:trPr>
          <w:cantSplit/>
        </w:trPr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images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812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Домен не определен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Файлы другого домена автоматически исключаются и не влияют на ошибки, оценку и рекомендации. Файлы без распознанного домена помечаются для ручной проверки.</w:t>
      </w:r>
    </w:p>
    <w:p>
      <w:bookmarkStart w:id="5010" w:name="seoskop_toc_10"/>
      <w:pPr>
        <w:pStyle w:val="Heading1"/>
      </w:pPr>
      <w:r>
        <w:t>5. Первый экран на разных устройствах</w:t>
      </w:r>
      <w:bookmarkEnd w:id="5010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2324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3</w:t>
              <w:br/>
              <w:t>Проверено устройств</w:t>
            </w:r>
          </w:p>
        </w:tc>
        <w:tc>
          <w:tcPr>
            <w:tcW w:type="dxa" w:w="2324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84/100</w:t>
              <w:br/>
              <w:t>Средняя оценка</w:t>
            </w:r>
          </w:p>
        </w:tc>
        <w:tc>
          <w:tcPr>
            <w:tcW w:type="dxa" w:w="2324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0</w:t>
              <w:br/>
              <w:t>Перекрытия</w:t>
            </w:r>
          </w:p>
        </w:tc>
        <w:tc>
          <w:tcPr>
            <w:tcW w:type="dxa" w:w="2324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16"/>
              </w:rPr>
              <w:t>0</w:t>
              <w:br/>
              <w:t>Без CTA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0"/>
        <w:gridCol w:w="2030"/>
        <w:gridCol w:w="2030"/>
        <w:gridCol w:w="2030"/>
        <w:gridCol w:w="2030"/>
      </w:tblGrid>
      <w:tr>
        <w:trPr>
          <w:tblHeader w:val="true"/>
        </w:trPr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Устройство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Оценка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Найдено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Не хватает</w:t>
            </w:r>
          </w:p>
        </w:tc>
        <w:tc>
          <w:tcPr>
            <w:tcW w:type="dxa" w:w="323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Основная рекомендация</w:t>
            </w:r>
          </w:p>
        </w:tc>
      </w:tr>
      <w:tr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Десктоп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90/100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логотип, H1 / оффер, цена с монтажом, CTA, телефон, доверие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локальные кейсы</w:t>
            </w:r>
          </w:p>
        </w:tc>
        <w:tc>
          <w:tcPr>
            <w:tcW w:type="dxa" w:w="323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Добавить рядом с оффером ссылку на реальные монтажи в Москве.</w:t>
            </w:r>
          </w:p>
        </w:tc>
      </w:tr>
      <w:tr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Планшет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84/100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оффер, CTA, телефон, преимущества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срок установки</w:t>
            </w:r>
          </w:p>
        </w:tc>
        <w:tc>
          <w:tcPr>
            <w:tcW w:type="dxa" w:w="323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Вывести срок установки рядом с расчетом стоимости.</w:t>
            </w:r>
          </w:p>
        </w:tc>
      </w:tr>
      <w:tr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Мобильный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78/100</w:t>
            </w:r>
          </w:p>
        </w:tc>
        <w:tc>
          <w:tcPr>
            <w:tcW w:type="dxa" w:w="226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H1, CTA, калькулятор, гарантия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быстрый звонок</w:t>
            </w:r>
          </w:p>
        </w:tc>
        <w:tc>
          <w:tcPr>
            <w:tcW w:type="dxa" w:w="323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Закрепить компактную кнопку звонка без перекрытия контента.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Автоматическая оценка проверяет видимость оффера, H1, CTA, меню, доверительных элементов, перекрытий, cookie-плашки и горизонтального скролла. Вывод следует подтверждать визуально.</w:t>
      </w:r>
    </w:p>
    <w:p>
      <w:r>
        <w:rPr>
          <w:rFonts w:ascii="Arial" w:hAnsi="Arial"/>
          <w:b/>
          <w:sz w:val="20"/>
        </w:rPr>
        <w:t>Десктоп: первый экран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32000" cy="364500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esktop_first_screen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32000" cy="364500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4649"/>
            <w:vAlign w:val="top"/>
          </w:tcPr>
          <w:p>
            <w:pPr>
              <w:spacing w:after="80"/>
              <w:jc w:val="center"/>
            </w:pPr>
            <w:r>
              <w:rPr>
                <w:rFonts w:ascii="Arial" w:hAnsi="Arial"/>
                <w:b/>
                <w:sz w:val="19"/>
              </w:rPr>
              <w:t>Планшет: первый экран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664000" cy="3404000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ablet_first_screen.pn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4000" cy="340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649"/>
            <w:vAlign w:val="top"/>
          </w:tcPr>
          <w:p>
            <w:pPr>
              <w:spacing w:after="80"/>
              <w:jc w:val="center"/>
            </w:pPr>
            <w:r>
              <w:rPr>
                <w:rFonts w:ascii="Arial" w:hAnsi="Arial"/>
                <w:b/>
                <w:sz w:val="19"/>
              </w:rPr>
              <w:t>Мобильный: первый экран</w:t>
            </w:r>
          </w:p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1872000" cy="4005209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mobile_first_screen.pn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000" cy="4005209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bookmarkStart w:id="5011" w:name="seoskop_toc_11"/>
      <w:pPr>
        <w:pStyle w:val="Heading1"/>
      </w:pPr>
      <w:r>
        <w:t>6. Скорость загрузки и мобильная версия</w:t>
      </w:r>
      <w:bookmarkEnd w:id="501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22"/>
              </w:rPr>
              <w:t>Мобильная производительность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FEF3C7"/>
            <w:vAlign w:val="top"/>
          </w:tcPr>
          <w:p>
            <w:pPr>
              <w:spacing w:after="0"/>
              <w:jc w:val="center"/>
            </w:pPr>
            <w:r/>
            <w:r>
              <w:rPr>
                <w:rFonts w:ascii="Arial" w:hAnsi="Arial"/>
                <w:b/>
                <w:sz w:val="32"/>
              </w:rPr>
              <w:t>68/100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Лабораторное значение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Оценка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FCP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1700 мс (1.70 с)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Первый видимый контент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LCP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3600 мс (3.60 с)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Основной контент первого экрана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Speed Index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4100 мс (4.10 с)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Скорость визуального заполнения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TBT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420 мс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Блокировка основного потока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CLS</w:t>
            </w:r>
          </w:p>
        </w:tc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0.09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Стабильность макета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Источник измерения: локальный Lighthouse · mobile · 31.07.2026 12:00. Проверенный URL: https://demo-climat.ru/.</w:t>
      </w:r>
    </w:p>
    <w:p>
      <w:bookmarkStart w:id="5012" w:name="seoskop_toc_12"/>
      <w:pPr>
        <w:pStyle w:val="Heading1"/>
      </w:pPr>
      <w:r>
        <w:t>7. Онлайн-проверка favicon, микроразметки и типовых страниц</w:t>
      </w:r>
      <w:bookmarkEnd w:id="5012"/>
    </w:p>
    <w:p>
      <w:bookmarkStart w:id="5013" w:name="seoskop_toc_13"/>
      <w:pPr>
        <w:pStyle w:val="Heading2"/>
      </w:pPr>
      <w:r>
        <w:t>Возраст и регистрационные данные домена</w:t>
      </w:r>
      <w:bookmarkEnd w:id="501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Показатель</w:t>
            </w:r>
          </w:p>
        </w:tc>
        <w:tc>
          <w:tcPr>
            <w:tcW w:type="dxa" w:w="6236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Значение</w:t>
            </w:r>
          </w:p>
        </w:tc>
      </w:tr>
      <w:t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Дата регистрации текущего домена</w:t>
            </w:r>
          </w:p>
        </w:tc>
        <w:tc>
          <w:tcPr>
            <w:tcW w:type="dxa" w:w="623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17.04.2016</w:t>
            </w:r>
          </w:p>
        </w:tc>
      </w:tr>
      <w:t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Возраст</w:t>
            </w:r>
          </w:p>
        </w:tc>
        <w:tc>
          <w:tcPr>
            <w:tcW w:type="dxa" w:w="623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10 года / 3758 дней</w:t>
            </w:r>
          </w:p>
        </w:tc>
      </w:tr>
      <w:t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Регистратор</w:t>
            </w:r>
          </w:p>
        </w:tc>
        <w:tc>
          <w:tcPr>
            <w:tcW w:type="dxa" w:w="623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REG.RU</w:t>
            </w:r>
          </w:p>
        </w:tc>
      </w:tr>
      <w:t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Оплачен до</w:t>
            </w:r>
          </w:p>
        </w:tc>
        <w:tc>
          <w:tcPr>
            <w:tcW w:type="dxa" w:w="623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17.04.2027</w:t>
            </w:r>
          </w:p>
        </w:tc>
      </w:tr>
      <w:t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Источник</w:t>
            </w:r>
          </w:p>
        </w:tc>
        <w:tc>
          <w:tcPr>
            <w:tcW w:type="dxa" w:w="623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RDAP / WHOIS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Дата относится к текущему домену. Она не равна возрасту компании, редакции, бренда или проекта и не влияет на технический балл сама по себе.</w:t>
      </w:r>
    </w:p>
    <w:p>
      <w:bookmarkStart w:id="5014" w:name="seoskop_toc_14"/>
      <w:pPr>
        <w:pStyle w:val="Heading2"/>
      </w:pPr>
      <w:r>
        <w:t>Favicon для браузеров и устройств</w:t>
      </w:r>
      <w:bookmarkEnd w:id="501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Проверка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Результат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SVG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66534"/>
                <w:sz w:val="17"/>
              </w:rPr>
              <w:t>Есть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ICO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66534"/>
                <w:sz w:val="17"/>
              </w:rPr>
              <w:t>Есть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Apple Touch Icon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66534"/>
                <w:sz w:val="17"/>
              </w:rPr>
              <w:t>Есть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Manifest 192x192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66534"/>
                <w:sz w:val="17"/>
              </w:rPr>
              <w:t>Есть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Manifest 512x512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66534"/>
                <w:sz w:val="17"/>
              </w:rPr>
              <w:t>Есть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Maskable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B91C1C"/>
                <w:sz w:val="17"/>
              </w:rPr>
              <w:t>Не найдено</w:t>
            </w:r>
          </w:p>
        </w:tc>
      </w:tr>
      <w:tr>
        <w:tc>
          <w:tcPr>
            <w:tcW w:type="dxa" w:w="595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Квадратная 48+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66534"/>
                <w:sz w:val="17"/>
              </w:rPr>
              <w:t>Есть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Лучшая найденная иконка: https://demo-climat.ru/favicon.svg.</w:t>
      </w:r>
    </w:p>
    <w:p>
      <w:bookmarkStart w:id="5015" w:name="seoskop_toc_15"/>
      <w:pPr>
        <w:pStyle w:val="Heading2"/>
      </w:pPr>
      <w:r>
        <w:t>Микроразметка на проверенных страницах</w:t>
      </w:r>
      <w:bookmarkEnd w:id="5015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2324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4</w:t>
              <w:br/>
              <w:t>Проверено страниц</w:t>
            </w:r>
          </w:p>
        </w:tc>
        <w:tc>
          <w:tcPr>
            <w:tcW w:type="dxa" w:w="2324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3</w:t>
              <w:br/>
              <w:t>Разметка найдена</w:t>
            </w:r>
          </w:p>
        </w:tc>
        <w:tc>
          <w:tcPr>
            <w:tcW w:type="dxa" w:w="2324"/>
            <w:shd w:fill="FFF7ED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1</w:t>
              <w:br/>
              <w:t>Разметка не найдена</w:t>
            </w:r>
          </w:p>
        </w:tc>
        <w:tc>
          <w:tcPr>
            <w:tcW w:type="dxa" w:w="2324"/>
            <w:shd w:fill="FEE2E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0</w:t>
              <w:br/>
              <w:t>Есть ошибки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Итог: микроразметка найдена на 3 из 4 проверенных страниц. Ниже указаны способ внедрения и обнаруженные типы Schema.org для каждого URL.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91"/>
        <w:gridCol w:w="1691"/>
        <w:gridCol w:w="1691"/>
        <w:gridCol w:w="1691"/>
        <w:gridCol w:w="1691"/>
        <w:gridCol w:w="1691"/>
      </w:tblGrid>
      <w:t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Статус / тип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URL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Код / формат</w:t>
            </w:r>
          </w:p>
        </w:tc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Найдено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Не хватает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Ошибки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Разметка найдена</w:t>
              <w:br/>
              <w:t>Главная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  <w:br/>
              <w:t>JSON-LD</w:t>
            </w:r>
          </w:p>
        </w:tc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Organization, WebSite, BreadcrumbList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LocalBusiness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—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Разметка найдена</w:t>
              <w:br/>
              <w:t>Категория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  <w:br/>
              <w:t>JSON-LD</w:t>
            </w:r>
          </w:p>
        </w:tc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BreadcrumbList, ItemList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—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—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Разметка найдена</w:t>
              <w:br/>
              <w:t>Карточка товара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https://demo-climat.ru/catalog/kondicionery/democool-dc12/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  <w:br/>
              <w:t>JSON-LD</w:t>
            </w:r>
          </w:p>
        </w:tc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BreadcrumbList, Product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Offer: availability; Offer: priceValidUntil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—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Разметка не найдена</w:t>
              <w:br/>
              <w:t>Услуга</w:t>
            </w:r>
          </w:p>
        </w:tc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https://demo-climat.ru/uslugi/montazh-kondicionerov/</w:t>
            </w:r>
          </w:p>
        </w:tc>
        <w:tc>
          <w:tcPr>
            <w:tcW w:type="dxa" w:w="102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  <w:br/>
              <w:t>—</w:t>
            </w:r>
          </w:p>
        </w:tc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—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Service; BreadcrumbList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—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Статус «Есть микроразметка» означает, что в HTML обнаружен JSON-LD, Microdata или RDFa. Проверка показывает наличие и синтаксис, но не заменяет проверку обязательных свойств расширенного результата.</w:t>
      </w:r>
    </w:p>
    <w:p>
      <w:bookmarkStart w:id="5016" w:name="seoskop_toc_16"/>
      <w:pPr>
        <w:pStyle w:val="Heading2"/>
      </w:pPr>
      <w:r>
        <w:t>Коммерческие факторы и названия блоков</w:t>
      </w:r>
      <w:bookmarkEnd w:id="5016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3118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4</w:t>
              <w:br/>
              <w:t>Проверено страниц</w:t>
            </w:r>
          </w:p>
        </w:tc>
        <w:tc>
          <w:tcPr>
            <w:tcW w:type="dxa" w:w="3118"/>
            <w:shd w:fill="DCFCE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75%</w:t>
              <w:br/>
              <w:t>Среднее покрытие</w:t>
            </w:r>
          </w:p>
        </w:tc>
        <w:tc>
          <w:tcPr>
            <w:tcW w:type="dxa" w:w="3118"/>
            <w:shd w:fill="FEE2E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4</w:t>
              <w:br/>
              <w:t>Страницы с пробелами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30"/>
        <w:gridCol w:w="2030"/>
        <w:gridCol w:w="2030"/>
        <w:gridCol w:w="2030"/>
        <w:gridCol w:w="2030"/>
      </w:tblGrid>
      <w:tr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Тип страницы</w:t>
            </w:r>
          </w:p>
        </w:tc>
        <w:tc>
          <w:tcPr>
            <w:tcW w:type="dxa" w:w="345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URL</w:t>
            </w:r>
          </w:p>
        </w:tc>
        <w:tc>
          <w:tcPr>
            <w:tcW w:type="dxa" w:w="56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Код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Покрытие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Каких элементов не хватает</w:t>
            </w:r>
          </w:p>
        </w:tc>
      </w:tr>
      <w:tr>
        <w:trPr>
          <w:cantSplit/>
        </w:trPr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Главная</w:t>
            </w:r>
          </w:p>
        </w:tc>
        <w:tc>
          <w:tcPr>
            <w:tcW w:type="dxa" w:w="345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</w:t>
            </w:r>
          </w:p>
        </w:tc>
        <w:tc>
          <w:tcPr>
            <w:tcW w:type="dxa" w:w="56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82%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Локальные кейсы / отзывы</w:t>
            </w:r>
          </w:p>
        </w:tc>
      </w:tr>
      <w:tr>
        <w:trPr>
          <w:cantSplit/>
        </w:trPr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Категория</w:t>
            </w:r>
          </w:p>
        </w:tc>
        <w:tc>
          <w:tcPr>
            <w:tcW w:type="dxa" w:w="3458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</w:t>
            </w:r>
          </w:p>
        </w:tc>
        <w:tc>
          <w:tcPr>
            <w:tcW w:type="dxa" w:w="567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74%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Срок установки, Сравнение моделей</w:t>
            </w:r>
          </w:p>
        </w:tc>
      </w:tr>
      <w:tr>
        <w:trPr>
          <w:cantSplit/>
        </w:trPr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Карточка товара</w:t>
            </w:r>
          </w:p>
        </w:tc>
        <w:tc>
          <w:tcPr>
            <w:tcW w:type="dxa" w:w="345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https://demo-climat.ru/catalog/kondicionery/democool-dc12/</w:t>
            </w:r>
          </w:p>
        </w:tc>
        <w:tc>
          <w:tcPr>
            <w:tcW w:type="dxa" w:w="56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78%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Полная Product/Offer, Срок выезда инженера</w:t>
            </w:r>
          </w:p>
        </w:tc>
      </w:tr>
      <w:tr>
        <w:trPr>
          <w:cantSplit/>
        </w:trPr>
        <w:tc>
          <w:tcPr>
            <w:tcW w:type="dxa" w:w="147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Услуга</w:t>
            </w:r>
          </w:p>
        </w:tc>
        <w:tc>
          <w:tcPr>
            <w:tcW w:type="dxa" w:w="3458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https://demo-climat.ru/uslugi/montazh-kondicionerov/</w:t>
            </w:r>
          </w:p>
        </w:tc>
        <w:tc>
          <w:tcPr>
            <w:tcW w:type="dxa" w:w="567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200</w:t>
            </w:r>
          </w:p>
        </w:tc>
        <w:tc>
          <w:tcPr>
            <w:tcW w:type="dxa" w:w="850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67%</w:t>
            </w:r>
          </w:p>
        </w:tc>
        <w:tc>
          <w:tcPr>
            <w:tcW w:type="dxa" w:w="300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Примеры монтажей, Калькулятор итоговой цены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Проверка оценивает наличие обязательных элементов по типу страницы. Длинная структура H1-H3 вынесена ниже в отдельную схему. Итог следует подтверждать визуально: автоматический поиск не оценивает достоверность и удобство содержания блоков.</w:t>
      </w:r>
    </w:p>
    <w:p>
      <w:bookmarkStart w:id="5017" w:name="seoskop_toc_17"/>
      <w:pPr>
        <w:pStyle w:val="Heading2"/>
      </w:pPr>
      <w:r>
        <w:t>Типовые страницы по виду сайта</w:t>
      </w:r>
      <w:bookmarkEnd w:id="5017"/>
    </w:p>
    <w:p>
      <w:pPr>
        <w:spacing w:after="80"/>
      </w:pPr>
      <w:r>
        <w:rPr>
          <w:rFonts w:ascii="Arial" w:hAnsi="Arial"/>
          <w:color w:val="5A5A5A"/>
          <w:sz w:val="17"/>
        </w:rPr>
        <w:t>Помимо главной страницы показаны ключевые шаблоны, выбранные по типу проекта: категория и товар, услуга, статья или другая основная посадочная.</w:t>
      </w:r>
    </w:p>
    <w:p>
      <w:pPr>
        <w:spacing w:before="120"/>
      </w:pPr>
      <w:r>
        <w:rPr>
          <w:rFonts w:ascii="Arial" w:hAnsi="Arial"/>
          <w:b/>
          <w:color w:val="18324B"/>
          <w:sz w:val="19"/>
        </w:rPr>
        <w:t>Категория: https://demo-climat.ru/catalog/kondicionery/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4068750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tegory_pag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06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rFonts w:ascii="Arial" w:hAnsi="Arial"/>
          <w:color w:val="5A5A5A"/>
          <w:sz w:val="17"/>
        </w:rPr>
        <w:t>Покрытие обязательных элементов: 74%. Не хватает: срок установки, сравнение. H1: 0 · H2: 0 · H3: 0 · явных ошибок иерархии не найдено</w:t>
      </w:r>
    </w:p>
    <w:p>
      <w:pPr>
        <w:spacing w:before="120"/>
      </w:pPr>
      <w:r>
        <w:rPr>
          <w:rFonts w:ascii="Arial" w:hAnsi="Arial"/>
          <w:b/>
          <w:color w:val="18324B"/>
          <w:sz w:val="19"/>
        </w:rPr>
        <w:t>Карточка товара: https://demo-climat.ru/catalog/kondicionery/democool-dc12/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580000" cy="4068750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roduct_pag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580000" cy="40687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80"/>
      </w:pPr>
      <w:r>
        <w:rPr>
          <w:rFonts w:ascii="Arial" w:hAnsi="Arial"/>
          <w:color w:val="5A5A5A"/>
          <w:sz w:val="17"/>
        </w:rPr>
        <w:t>Покрытие обязательных элементов: 78%. Не хватает: Product/Offer, срок выезда. H1: 0 · H2: 0 · H3: 0 · явных ошибок иерархии не найдено</w:t>
      </w:r>
    </w:p>
    <w:p>
      <w:bookmarkStart w:id="5018" w:name="seoskop_toc_18"/>
      <w:pPr>
        <w:pStyle w:val="Heading2"/>
      </w:pPr>
      <w:r>
        <w:t>Структура заголовков типовых страниц</w:t>
      </w:r>
      <w:bookmarkEnd w:id="5018"/>
    </w:p>
    <w:p>
      <w:pPr>
        <w:spacing w:after="80"/>
      </w:pPr>
      <w:r>
        <w:rPr>
          <w:rFonts w:ascii="Arial" w:hAnsi="Arial"/>
          <w:color w:val="5A5A5A"/>
          <w:sz w:val="17"/>
        </w:rPr>
        <w:t>Схема показывает реальный порядок H1-H3. Метка [!] отмечает пустой, служебный или подозрительный заголовок. Длинный перечень заголовков исключен из общей таблицы коммерческих факторов и вынесен в отдельный читаемый блок.</w:t>
      </w:r>
    </w:p>
    <w:p>
      <w:pPr>
        <w:spacing w:before="120"/>
      </w:pPr>
      <w:r>
        <w:rPr>
          <w:rFonts w:ascii="Arial" w:hAnsi="Arial"/>
          <w:b/>
          <w:color w:val="18324B"/>
          <w:sz w:val="19"/>
        </w:rPr>
        <w:t>Главная: https://demo-climat.ru/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Заголовок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Оценка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Кондиционер с установкой в Москве за 1 день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Подбор по площади и бюджету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Монтаж под ключ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</w:tbl>
    <w:p>
      <w:pPr>
        <w:spacing w:before="120"/>
      </w:pPr>
      <w:r>
        <w:rPr>
          <w:rFonts w:ascii="Arial" w:hAnsi="Arial"/>
          <w:b/>
          <w:color w:val="18324B"/>
          <w:sz w:val="19"/>
        </w:rPr>
        <w:t>Категория: https://demo-climat.ru/catalog/kondicionery/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Заголовок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Оценка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Настенные кондиционеры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Подбор по площади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Популярные модели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</w:tbl>
    <w:p>
      <w:pPr>
        <w:spacing w:before="120"/>
      </w:pPr>
      <w:r>
        <w:rPr>
          <w:rFonts w:ascii="Arial" w:hAnsi="Arial"/>
          <w:b/>
          <w:color w:val="18324B"/>
          <w:sz w:val="19"/>
        </w:rPr>
        <w:t>Карточка товара: https://demo-climat.ru/catalog/kondicionery/democool-dc12/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Заголовок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Оценка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Кондиционер DemoCool DC-12 Inverter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Характеристики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Доставка и монтаж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Отзывы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</w:tbl>
    <w:p>
      <w:pPr>
        <w:spacing w:before="120"/>
      </w:pPr>
      <w:r>
        <w:rPr>
          <w:rFonts w:ascii="Arial" w:hAnsi="Arial"/>
          <w:b/>
          <w:color w:val="18324B"/>
          <w:sz w:val="19"/>
        </w:rPr>
        <w:t>Страница услуги: https://demo-climat.ru/uslugi/montazh-kondicionerov/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Уровень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Заголовок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Оценка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Монтаж кондиционеров в Москве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Цены на установку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  <w:tr>
        <w:tc>
          <w:tcPr>
            <w:tcW w:type="dxa" w:w="96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H0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Что входит в монтаж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норма</w:t>
            </w:r>
          </w:p>
        </w:tc>
      </w:tr>
    </w:tbl>
    <w:p>
      <w:bookmarkStart w:id="5019" w:name="seoskop_toc_19"/>
      <w:pPr>
        <w:pStyle w:val="Heading1"/>
      </w:pPr>
      <w:r>
        <w:t>8. Карта внутренней перелинковки</w:t>
      </w:r>
      <w:bookmarkEnd w:id="5019"/>
    </w:p>
    <w:p>
      <w:r>
        <w:t>Проанализировано 450 страниц и 6 380 внутренних связей. Найдены отдельные глубокие и слабо поддержанные страницы; основные категории выступают корректными хабами.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6048000" cy="3064320"/>
            <wp:docPr id="9" name="Picture 9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ternal_linking_map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48000" cy="3064320"/>
                    </a:xfrm>
                    <a:prstGeom prst="rect"/>
                  </pic:spPr>
                </pic:pic>
              </a:graphicData>
            </a:graphic>
          </wp:inline>
        </w:drawing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Значение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Интерпретация</w:t>
            </w:r>
          </w:p>
        </w:tc>
      </w:tr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Страниц в графе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450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Уникальные внутренние HTML-страницы, которые удалось связать с URL и ссылочными данными.</w:t>
            </w:r>
          </w:p>
        </w:tc>
      </w:tr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Внутренних связей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6380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Точное число из таблицы Links либо агрегированная оценка по Outlinks; источник указан рядом с показателем.</w:t>
            </w:r>
          </w:p>
        </w:tc>
      </w:tr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Среднее входящих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14.2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Ориентир, а не норматив: важнее распределение ссылок по типам страниц.</w:t>
            </w:r>
          </w:p>
        </w:tc>
      </w:tr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Среднее исходящих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14.2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Помогает увидеть перегруженные шаблоны, меню и фильтры.</w:t>
            </w:r>
          </w:p>
        </w:tc>
      </w:tr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Максимальная глубина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5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Для важных страниц обычно желательно не более трех кликов; для медиа учитываются архивы, хабы и тип материала.</w:t>
            </w:r>
          </w:p>
        </w:tc>
      </w:tr>
      <w:tr>
        <w:tc>
          <w:tcPr>
            <w:tcW w:type="dxa" w:w="28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Слабых страниц</w:t>
            </w:r>
          </w:p>
        </w:tc>
        <w:tc>
          <w:tcPr>
            <w:tcW w:type="dxa" w:w="130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  <w:tc>
          <w:tcPr>
            <w:tcW w:type="dxa" w:w="5499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Страницы с нулем или одной входящей ссылкой, требующие ручной приоритизации.</w:t>
            </w:r>
          </w:p>
        </w:tc>
      </w:tr>
    </w:tbl>
    <w:p>
      <w:bookmarkStart w:id="5020" w:name="seoskop_toc_20"/>
      <w:pPr>
        <w:pStyle w:val="Heading2"/>
      </w:pPr>
      <w:r>
        <w:t>Главные узлы внутреннего веса</w:t>
      </w:r>
      <w:bookmarkEnd w:id="5020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Страница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Входящих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Исходящих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Роль в структуре</w:t>
            </w:r>
          </w:p>
        </w:tc>
      </w:tr>
      <w:tr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328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74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Хаб / приоритетный источник ссылок</w:t>
            </w:r>
          </w:p>
        </w:tc>
      </w:tr>
      <w:tr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https://demo-climat.ru/uslugi/montazh-kondicionerov/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190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22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Хаб / приоритетный источник ссылок</w:t>
            </w:r>
          </w:p>
        </w:tc>
      </w:tr>
      <w:tr>
        <w:tc>
          <w:tcPr>
            <w:tcW w:type="dxa" w:w="5216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https://demo-climat.ru/catalog/kondicionery/invertornye/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154</w:t>
            </w:r>
          </w:p>
        </w:tc>
        <w:tc>
          <w:tcPr>
            <w:tcW w:type="dxa" w:w="113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48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Хаб / приоритетный источник ссылок</w:t>
            </w:r>
          </w:p>
        </w:tc>
      </w:tr>
    </w:tbl>
    <w:p>
      <w:bookmarkStart w:id="5021" w:name="seoskop_toc_21"/>
      <w:pPr>
        <w:pStyle w:val="Heading2"/>
      </w:pPr>
      <w:r>
        <w:t>Рекомендуемые новые связи</w:t>
      </w:r>
      <w:bookmarkEnd w:id="5021"/>
    </w:p>
    <w:p>
      <w:pPr>
        <w:spacing w:after="80"/>
      </w:pPr>
      <w:r>
        <w:rPr>
          <w:rFonts w:ascii="Arial" w:hAnsi="Arial"/>
          <w:color w:val="5A5A5A"/>
          <w:sz w:val="17"/>
        </w:rPr>
        <w:t>Предложения рассчитаны по пересечению темы Title/H1/URL. Перед внедрением проверьте интент, полезность перехода и отсутствие уже существующей ссылки в динамическом блоке.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362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Откуда поставить ссылку</w:t>
            </w:r>
          </w:p>
        </w:tc>
        <w:tc>
          <w:tcPr>
            <w:tcW w:type="dxa" w:w="362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Куда вести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Рекомендуемый анкор</w:t>
            </w:r>
          </w:p>
        </w:tc>
      </w:tr>
      <w:tr>
        <w:tc>
          <w:tcPr>
            <w:tcW w:type="dxa" w:w="362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https://demo-climat.ru/blog/kondicioner-v-spalnyu/</w:t>
            </w:r>
          </w:p>
        </w:tc>
        <w:tc>
          <w:tcPr>
            <w:tcW w:type="dxa" w:w="362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https://demo-climat.ru/catalog/kondicionery/invertornye/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инверторные кондиционеры для спальни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Карта показывает структуру передаваемого внутреннего веса, но не заменяет анализ поискового интента. Большое число ссылок не является преимуществом само по себе: важны релевантность, кликабельность и приоритет целевой страницы.</w:t>
      </w:r>
    </w:p>
    <w:p>
      <w:bookmarkStart w:id="5022" w:name="seoskop_toc_22"/>
      <w:pPr>
        <w:pStyle w:val="Heading1"/>
      </w:pPr>
      <w:r>
        <w:t>9. Анализ блога и контентного кластера</w:t>
      </w:r>
      <w:bookmarkEnd w:id="5022"/>
    </w:p>
    <w:p>
      <w:r>
        <w:t>В блоге найдено 18 материалов. Тематика в основном связана с подбором, монтажом и эксплуатацией кондиционеров, но часть статей слабо поддерживает коммерческие категории и услуги.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Показатель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Значение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Статей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18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Коммерческих страниц в модели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9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Медиана слов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—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Статей со ссылками на коммерческие страницы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10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Материалов со ссылками на связанные публикации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7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Материалов глубже трех кликов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</w:tr>
      <w:tr>
        <w:tc>
          <w:tcPr>
            <w:tcW w:type="dxa" w:w="652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Материалов без подтвержденной даты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</w:tr>
    </w:tbl>
    <w:p>
      <w:bookmarkStart w:id="5023" w:name="seoskop_toc_23"/>
      <w:pPr>
        <w:pStyle w:val="Heading2"/>
      </w:pPr>
      <w:r>
        <w:t>Что проверить в существующем блоге</w:t>
      </w:r>
      <w:bookmarkEnd w:id="502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Направление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Факт и интерпретация</w:t>
            </w:r>
          </w:p>
        </w:tc>
      </w:tr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Связь с коммерческим кластером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Без подтвержденных переходов на опорные сущности: 8.</w:t>
            </w:r>
          </w:p>
        </w:tc>
      </w:tr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Связанные материалы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Без подтвержденных ссылок на другие публикации: 11.</w:t>
            </w:r>
          </w:p>
        </w:tc>
      </w:tr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Глубина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Материалов глубже трех кликов: 2. Для крупного медиа глубина 3 допустима; приоритет определяется показами, evergreen-ценностью и ролью хаба.</w:t>
            </w:r>
          </w:p>
        </w:tc>
      </w:tr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Внутренние ссылки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Материалов с двумя или менее входящими ссылками: 2. Профили и формы не следует автоматически приравнивать к редакционным страницам.</w:t>
            </w:r>
          </w:p>
        </w:tc>
      </w:tr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Индексируемость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Редакционных URL с ошибочным ответом или признаком noindex: 1.</w:t>
            </w:r>
          </w:p>
        </w:tc>
      </w:tr>
      <w:tr>
        <w:tc>
          <w:tcPr>
            <w:tcW w:type="dxa" w:w="249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Объем</w:t>
            </w:r>
          </w:p>
        </w:tc>
        <w:tc>
          <w:tcPr>
            <w:tcW w:type="dxa" w:w="714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Материалов менее 500 слов: 1. Короткий формат не является ошибкой, если полностью решает задачу.</w:t>
            </w:r>
          </w:p>
        </w:tc>
      </w:tr>
    </w:tbl>
    <w:p>
      <w:bookmarkStart w:id="5024" w:name="seoskop_toc_24"/>
      <w:pPr>
        <w:pStyle w:val="Heading2"/>
      </w:pPr>
      <w:r>
        <w:t>Динамика публикаций</w:t>
      </w:r>
      <w:bookmarkEnd w:id="5024"/>
    </w:p>
    <w:p>
      <w:pPr>
        <w:spacing w:after="80"/>
      </w:pPr>
      <w:r>
        <w:rPr>
          <w:rFonts w:ascii="Arial" w:hAnsi="Arial"/>
          <w:color w:val="5A5A5A"/>
          <w:sz w:val="17"/>
        </w:rPr>
        <w:t>Плавный редакционный ритм полезен для управления контентом, но поисковые системы не требуют публикации по жесткому календарю. Одинаковые даты могут быть следствием миграции архива.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Месяц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Публикаций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2025-09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2025-10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2025-11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2025-12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4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2026-01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2026-02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2026-03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2026-04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3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2026-05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1</w:t>
            </w:r>
          </w:p>
        </w:tc>
      </w:tr>
      <w:t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2026-06</w:t>
            </w:r>
          </w:p>
        </w:tc>
        <w:tc>
          <w:tcPr>
            <w:tcW w:type="dxa" w:w="51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2</w:t>
            </w:r>
          </w:p>
        </w:tc>
      </w:tr>
    </w:tbl>
    <w:p>
      <w:bookmarkStart w:id="5025" w:name="seoskop_toc_25"/>
      <w:pPr>
        <w:pStyle w:val="Heading2"/>
      </w:pPr>
      <w:r>
        <w:t>Предложения по новым материалам</w:t>
      </w:r>
      <w:bookmarkEnd w:id="5025"/>
    </w:p>
    <w:p>
      <w:r>
        <w:t>Темы сформированы из коммерческих страниц, которые пока слабо поддержаны информационным контентом. Перед публикацией необходимо проверить спрос, интент, конкурентов и возможность добавить собственную экспертизу.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306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Тема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Целевая страница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Почему предложена</w:t>
            </w:r>
          </w:p>
        </w:tc>
      </w:tr>
      <w:tr>
        <w:trPr>
          <w:cantSplit/>
        </w:trPr>
        <w:tc>
          <w:tcPr>
            <w:tcW w:type="dxa" w:w="306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Как рассчитать итоговую стоимость кондиционера с монтажом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https://demo-climat.ru/uslugi/montazh-kondicionerov/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Коммерческая услуга монтажа требует информационной поддержки и объяснения состава работ.</w:t>
            </w:r>
          </w:p>
        </w:tc>
      </w:tr>
      <w:tr>
        <w:trPr>
          <w:cantSplit/>
        </w:trPr>
        <w:tc>
          <w:tcPr>
            <w:tcW w:type="dxa" w:w="306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Как подобрать мощность кондиционера по площади и теплопритокам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Категория имеет спрос по подбору мощности, но в блоге нет полноценного экспертного руководства.</w:t>
            </w:r>
          </w:p>
        </w:tc>
      </w:tr>
      <w:tr>
        <w:trPr>
          <w:cantSplit/>
        </w:trPr>
        <w:tc>
          <w:tcPr>
            <w:tcW w:type="dxa" w:w="306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4"/>
              </w:rPr>
              <w:t>Сравнение инверторных кондиционеров для спальни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https://demo-climat.ru/catalog/kondicionery/invertornye/</w:t>
            </w:r>
          </w:p>
        </w:tc>
        <w:tc>
          <w:tcPr>
            <w:tcW w:type="dxa" w:w="328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Материал поможет связать информационный спрос с товарной категорией и фильтрами.</w:t>
            </w:r>
          </w:p>
        </w:tc>
      </w:tr>
    </w:tbl>
    <w:p>
      <w:bookmarkStart w:id="5026" w:name="seoskop_toc_26"/>
      <w:pPr>
        <w:pStyle w:val="Heading2"/>
      </w:pPr>
      <w:r>
        <w:t>Статьи для приоритетной проверки</w:t>
      </w:r>
      <w:bookmarkEnd w:id="5026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URL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Заголовок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Причина</w:t>
            </w:r>
          </w:p>
        </w:tc>
      </w:tr>
      <w:tr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https://demo-climat.ru/blog/kak-vybrat-kondicioner/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Как выбрать кондиционер для квартиры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Глубже 3 кликов</w:t>
            </w:r>
          </w:p>
        </w:tc>
      </w:tr>
      <w:tr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https://demo-climat.ru/blog/uhod-za-split-sistemoy/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Как обслуживать сплит-систему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Глубже 3 кликов</w:t>
            </w:r>
          </w:p>
        </w:tc>
      </w:tr>
      <w:tr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https://demo-climat.ru/blog/invertor-ili-on-off/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Инверторный или обычный кондиционер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Не более 2 входящих ссылок</w:t>
            </w:r>
          </w:p>
        </w:tc>
      </w:tr>
      <w:tr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https://demo-climat.ru/blog/kondicioner-v-spalnyu/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Кондиционер для спальни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Не более 2 входящих ссылок</w:t>
            </w:r>
          </w:p>
        </w:tc>
      </w:tr>
      <w:tr>
        <w:tc>
          <w:tcPr>
            <w:tcW w:type="dxa" w:w="408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https://demo-climat.ru/blog/staryy-material/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Старый архивный материал</w:t>
            </w:r>
          </w:p>
        </w:tc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Проверить индексируемость</w:t>
            </w:r>
          </w:p>
        </w:tc>
      </w:tr>
    </w:tbl>
    <w:p>
      <w:bookmarkStart w:id="5027" w:name="seoskop_toc_27"/>
      <w:pPr>
        <w:pStyle w:val="Heading1"/>
      </w:pPr>
      <w:r>
        <w:t>10. Сравнение с конкурентами</w:t>
      </w:r>
      <w:bookmarkEnd w:id="5027"/>
    </w:p>
    <w:p>
      <w:r>
        <w:t>Раздел доступен на тарифах Pro и Агентство. Проверяемый проект сравнивается с явно указанными сайтами по наличию коммерческих и доверительных элементов. Автоматическая проверка не оценивает уровень цен, качество предложения и фактическую конверсию, поэтому выводы используются как карта для ручной проверки.</w:t>
      </w:r>
    </w:p>
    <w:p>
      <w:pPr>
        <w:spacing w:before="100"/>
      </w:pPr>
      <w:r>
        <w:rPr>
          <w:rFonts w:ascii="Arial" w:hAnsi="Arial"/>
          <w:b/>
          <w:color w:val="18324B"/>
          <w:sz w:val="18"/>
        </w:rPr>
        <w:t>Основные коммерческие элементы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5"/>
        <w:gridCol w:w="1015"/>
      </w:tblGrid>
      <w:t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Роль / сайт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Код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Покрытие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CTA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Цена / ставка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Доставка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Документы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Отзывы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Кейсы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Наличие / сроки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DBEAFE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2"/>
              </w:rPr>
              <w:t>Проверяемый сайт</w:t>
              <w:br/>
              <w:t>demo-climat.ru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DBEAFE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DBEAFE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74%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Конкурент 1</w:t>
              <w:br/>
              <w:t>climat-market.example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88%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Конкурент 2</w:t>
              <w:br/>
              <w:t>split-pro.example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79%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Конкурент 3</w:t>
              <w:br/>
              <w:t>air-shop.example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72%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</w:tr>
    </w:tbl>
    <w:p>
      <w:pPr>
        <w:spacing w:before="100"/>
      </w:pPr>
      <w:r>
        <w:rPr>
          <w:rFonts w:ascii="Arial" w:hAnsi="Arial"/>
          <w:b/>
          <w:color w:val="18324B"/>
          <w:sz w:val="18"/>
        </w:rPr>
        <w:t>Факторы выбора кондиционера и монтажа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  <w:gridCol w:w="923"/>
      </w:tblGrid>
      <w:t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Роль / сайт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Код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Покрытие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Монтаж: цена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Подбор по площади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Мощность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Наличие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Рассрочка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Замер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Сервис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3"/>
              </w:rPr>
              <w:t>Шоурум / склад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DBEAFE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2"/>
              </w:rPr>
              <w:t>Проверяемый сайт</w:t>
              <w:br/>
              <w:t>demo-climat.ru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DBEAFE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DBEAFE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74%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Конкурент 1</w:t>
              <w:br/>
              <w:t>climat-market.example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88%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Конкурент 2</w:t>
              <w:br/>
              <w:t>split-pro.example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79%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</w:tr>
      <w:tr>
        <w:trPr>
          <w:cantSplit/>
        </w:trPr>
        <w:tc>
          <w:tcPr>
            <w:tcW w:type="dxa" w:w="215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Конкурент 3</w:t>
              <w:br/>
              <w:t>air-shop.example</w:t>
            </w:r>
          </w:p>
        </w:tc>
        <w:tc>
          <w:tcPr>
            <w:tcW w:type="dxa" w:w="51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200</w:t>
            </w:r>
          </w:p>
        </w:tc>
        <w:tc>
          <w:tcPr>
            <w:tcW w:type="dxa" w:w="680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72%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Нет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  <w:tc>
          <w:tcPr>
            <w:tcW w:type="dxa" w:w="737"/>
            <w:tcMar>
              <w:top w:w="90" w:type="dxa"/>
              <w:start w:w="90" w:type="dxa"/>
              <w:bottom w:w="90" w:type="dxa"/>
              <w:end w:w="90" w:type="dxa"/>
            </w:tcMar>
            <w:shd w:fill="DCFCE7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2"/>
              </w:rPr>
              <w:t>Есть</w:t>
            </w:r>
          </w:p>
        </w:tc>
      </w:tr>
    </w:tbl>
    <w:p>
      <w:r>
        <w:rPr>
          <w:rFonts w:ascii="Arial" w:hAnsi="Arial"/>
          <w:b/>
          <w:color w:val="18324B"/>
          <w:sz w:val="20"/>
        </w:rPr>
        <w:t>Где проверяемый сайт уступает</w:t>
      </w:r>
    </w:p>
    <w:p>
      <w:pPr>
        <w:pStyle w:val="ListBullet"/>
      </w:pPr>
      <w:r>
        <w:rPr>
          <w:rFonts w:ascii="Arial" w:hAnsi="Arial"/>
          <w:sz w:val="17"/>
        </w:rPr>
        <w:t>Кейсы: найдено у 2 из 3 конкурентов</w:t>
      </w:r>
    </w:p>
    <w:p>
      <w:pPr>
        <w:pStyle w:val="ListBullet"/>
      </w:pPr>
      <w:r>
        <w:rPr>
          <w:rFonts w:ascii="Arial" w:hAnsi="Arial"/>
          <w:sz w:val="17"/>
        </w:rPr>
        <w:t>Рассрочка: найдено у 2 из 3 конкурентов</w:t>
      </w:r>
    </w:p>
    <w:p>
      <w:pPr>
        <w:pStyle w:val="ListBullet"/>
      </w:pPr>
      <w:r>
        <w:rPr>
          <w:rFonts w:ascii="Arial" w:hAnsi="Arial"/>
          <w:sz w:val="17"/>
        </w:rPr>
        <w:t>Шоурум / склад: найдено у 2 из 3 конкурентов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FFF7ED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9A3412"/>
                <w:sz w:val="18"/>
              </w:rPr>
              <w:t>Примечание: Ориентир для ручной проверки: climat-market.example имеет максимальное автоматическое покрытие среди добавленных конкурентов (88%). Проверьте не только наличие блоков, но и содержание оффера, доказательства, удобство пути до заявки и соответствие запросам ниши.</w:t>
            </w:r>
          </w:p>
        </w:tc>
      </w:tr>
    </w:tbl>
    <w:p>
      <w:pPr>
        <w:spacing w:after="0"/>
      </w:pPr>
    </w:p>
    <w:p>
      <w:pPr>
        <w:spacing w:after="80"/>
      </w:pPr>
      <w:r>
        <w:rPr>
          <w:rFonts w:ascii="Arial" w:hAnsi="Arial"/>
          <w:color w:val="5A5A5A"/>
          <w:sz w:val="17"/>
        </w:rPr>
        <w:t>Используйте таблицу как карту внедрений: заимствовать следует не дизайн конкурента, а полезную для пользователя информацию, которой нет на проверяемом сайте.</w:t>
      </w:r>
    </w:p>
    <w:p>
      <w:bookmarkStart w:id="5028" w:name="seoskop_toc_28"/>
      <w:pPr>
        <w:pStyle w:val="Heading1"/>
      </w:pPr>
      <w:r>
        <w:t>11. Найденные ошибки и рекомендации</w:t>
      </w:r>
      <w:bookmarkEnd w:id="5028"/>
    </w:p>
    <w:p>
      <w:bookmarkStart w:id="5029" w:name="seoskop_toc_29"/>
      <w:pPr>
        <w:pStyle w:val="Heading2"/>
      </w:pPr>
      <w:r>
        <w:t>Sitemap</w:t>
      </w:r>
      <w:bookmarkEnd w:id="5029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B91C1C"/>
                <w:sz w:val="20"/>
              </w:rPr>
              <w:t>P1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Некачественные URL в sitemap</w:t>
              <w:br/>
              <w:t>Масштаб: 28 из 520 URL (5.4%)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В XML-карте находятся редиректные и закрытые адреса.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Поисковые роботы получают противоречивые сигналы и расходуют обход на нецелевые URL.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Высокая для массовой карты сайта.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Оставить только канонические индексируемые HTML-страницы с кодом 200.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color w:val="18324B"/>
          <w:sz w:val="20"/>
        </w:rPr>
        <w:t>Примеры URL из sitemap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tblHeader w:val="true"/>
        </w:trP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URL</w:t>
            </w:r>
          </w:p>
        </w:tc>
        <w:tc>
          <w:tcPr>
            <w:tcW w:type="dxa" w:w="90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Код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Причина</w:t>
            </w:r>
          </w:p>
        </w:tc>
      </w:tr>
      <w:tr>
        <w:trPr>
          <w:cantSplit/>
        </w:trP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https://demo-climat.ru/catalog/?sort=price</w:t>
            </w:r>
          </w:p>
        </w:tc>
        <w:tc>
          <w:tcPr>
            <w:tcW w:type="dxa" w:w="90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301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Редирект</w:t>
            </w:r>
          </w:p>
        </w:tc>
      </w:tr>
      <w:tr>
        <w:trPr>
          <w:cantSplit/>
        </w:trPr>
        <w:tc>
          <w:tcPr>
            <w:tcW w:type="dxa" w:w="4535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https://demo-climat.ru/search/</w:t>
            </w:r>
          </w:p>
        </w:tc>
        <w:tc>
          <w:tcPr>
            <w:tcW w:type="dxa" w:w="907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200</w:t>
            </w:r>
          </w:p>
        </w:tc>
        <w:tc>
          <w:tcPr>
            <w:tcW w:type="dxa" w:w="1701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noindex</w:t>
            </w:r>
          </w:p>
        </w:tc>
      </w:tr>
    </w:tbl>
    <w:p>
      <w:pPr>
        <w:spacing w:after="100"/>
      </w:pPr>
    </w:p>
    <w:p>
      <w:bookmarkStart w:id="5030" w:name="seoskop_toc_30"/>
      <w:pPr>
        <w:pStyle w:val="Heading2"/>
      </w:pPr>
      <w:r>
        <w:t>Скорость</w:t>
      </w:r>
      <w:bookmarkEnd w:id="5030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B91C1C"/>
                <w:sz w:val="20"/>
              </w:rPr>
              <w:t>P1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LCP выше рекомендуемого порога: 3,6 с</w:t>
              <w:br/>
              <w:t>Масштаб: 1 из 1 URL (100.0%)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Главный визуальный блок появляется позднее целевого значения.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Медленный первый экран может снижать мобильную конверсию.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Высокая для главной коммерческой страницы.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Оптимизировать hero, preload ключевого изображения, критический CSS и серверный ответ.</w:t>
            </w:r>
          </w:p>
        </w:tc>
      </w:tr>
    </w:tbl>
    <w:p>
      <w:pPr>
        <w:spacing w:after="100"/>
      </w:pPr>
    </w:p>
    <w:p>
      <w:bookmarkStart w:id="5031" w:name="seoskop_toc_31"/>
      <w:pPr>
        <w:pStyle w:val="Heading2"/>
      </w:pPr>
      <w:r>
        <w:t>Метатеги</w:t>
      </w:r>
      <w:bookmarkEnd w:id="503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C2410C"/>
                <w:sz w:val="20"/>
              </w:rPr>
              <w:t>P2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Слишком длинные Title</w:t>
              <w:br/>
              <w:t>Масштаб: 86 из 410 URL (21.0%)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В части категорий Title перегружены брендами и повторяющимися коммерческими фразами.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Сниппеты могут обрезаться, а страницы — конкурировать за одинаковый интент.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Средняя, затрагивает шаблон категорий.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Сократить шаблон до основного интента, типа, бренда и региона.</w:t>
            </w:r>
          </w:p>
        </w:tc>
      </w:tr>
    </w:tbl>
    <w:p>
      <w:pPr>
        <w:spacing w:before="100" w:after="60"/>
      </w:pPr>
      <w:r>
        <w:rPr>
          <w:rFonts w:ascii="Arial" w:hAnsi="Arial"/>
          <w:b/>
          <w:color w:val="18324B"/>
          <w:sz w:val="20"/>
        </w:rPr>
        <w:t>Примеры длинных Title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rPr>
          <w:tblHeader w:val="true"/>
        </w:trP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URL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Title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5"/>
              </w:rPr>
              <w:t>Длина</w:t>
            </w:r>
          </w:p>
        </w:tc>
      </w:tr>
      <w:tr>
        <w:trPr>
          <w:cantSplit/>
        </w:trPr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https://demo-climat.ru/catalog/kondicionery/invertornye/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Купить инверторный кондиционер с установкой в Москве — цены, доставка и гарантия</w:t>
            </w:r>
          </w:p>
        </w:tc>
        <w:tc>
          <w:tcPr>
            <w:tcW w:type="dxa" w:w="311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4"/>
              </w:rPr>
              <w:t>91</w:t>
            </w:r>
          </w:p>
        </w:tc>
      </w:tr>
    </w:tbl>
    <w:p>
      <w:pPr>
        <w:spacing w:after="100"/>
      </w:pPr>
    </w:p>
    <w:p>
      <w:bookmarkStart w:id="5032" w:name="seoskop_toc_32"/>
      <w:pPr>
        <w:pStyle w:val="Heading2"/>
      </w:pPr>
      <w:r>
        <w:t>Микроразметка</w:t>
      </w:r>
      <w:bookmarkEnd w:id="5032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C2410C"/>
                <w:sz w:val="20"/>
              </w:rPr>
              <w:t>P2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Неполная Product/Offer и отсутствует Service</w:t>
              <w:br/>
              <w:t>Масштаб: 2 из 4 URL (50.0%)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Карточка товара не раскрывает все свойства Offer, а услуга монтажа не размечена Service.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Расширенные результаты и машинное понимание предложения ограничены.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Средняя.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Добавить availability, priceValidUntil, seller, Service и areaServed.</w:t>
            </w:r>
          </w:p>
        </w:tc>
      </w:tr>
    </w:tbl>
    <w:p>
      <w:pPr>
        <w:spacing w:after="100"/>
      </w:pPr>
    </w:p>
    <w:p>
      <w:bookmarkStart w:id="5033" w:name="seoskop_toc_33"/>
      <w:pPr>
        <w:pStyle w:val="Heading2"/>
      </w:pPr>
      <w:r>
        <w:t>Коммерческие факторы</w:t>
      </w:r>
      <w:bookmarkEnd w:id="5033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C2410C"/>
                <w:sz w:val="20"/>
              </w:rPr>
              <w:t>P2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Не везде указана итоговая стоимость монтажа</w:t>
              <w:br/>
              <w:t>Масштаб: 2 из 4 URL (50.0%)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В категории отображается базовая цена монтажа, но нет состава работ и условий доплаты.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Пользователь не понимает итоговую стоимость и может уйти к конкуренту.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Средняя, влияет на решение о покупке.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Раскрыть стандартный монтаж, дополнительные работы и пример расчета.</w:t>
            </w:r>
          </w:p>
        </w:tc>
      </w:tr>
    </w:tbl>
    <w:p>
      <w:pPr>
        <w:spacing w:after="100"/>
      </w:pPr>
    </w:p>
    <w:p>
      <w:bookmarkStart w:id="5034" w:name="seoskop_toc_34"/>
      <w:pPr>
        <w:pStyle w:val="Heading2"/>
      </w:pPr>
      <w:r>
        <w:t>Региональность</w:t>
      </w:r>
      <w:bookmarkEnd w:id="5034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C2410C"/>
                <w:sz w:val="20"/>
              </w:rPr>
              <w:t>P2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Недостаточно локальных кейсов и отзывов</w:t>
              <w:br/>
              <w:t>Масштаб: 1 из 5 URL (20.0%)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Оффер, телефон и зона выезда подтверждены, но мало доказательств работы в конкретных районах.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Слабее доверие и соответствие геозависимому спросу.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EDD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Средняя.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Добавить региональные кейсы, отзывы и страницы зон обслуживания только с уникальными условиями.</w:t>
            </w:r>
          </w:p>
        </w:tc>
      </w:tr>
    </w:tbl>
    <w:p>
      <w:pPr>
        <w:spacing w:after="100"/>
      </w:pPr>
    </w:p>
    <w:p>
      <w:bookmarkStart w:id="5035" w:name="seoskop_toc_35"/>
      <w:pPr>
        <w:pStyle w:val="Heading2"/>
      </w:pPr>
      <w:r>
        <w:t>Изображения</w:t>
      </w:r>
      <w:bookmarkEnd w:id="5035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3F4F6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4B5563"/>
                <w:sz w:val="20"/>
              </w:rPr>
              <w:t>P3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Часть изображений тяжелее 250 КБ</w:t>
              <w:br/>
              <w:t>Масштаб: 34 из 812 URL (4.2%)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В категориях используются крупные JPG без адаптивных вариантов.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Увеличивается вес страницы и расход мобильного трафика.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3F4F6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Дополнительная после оптимизации LCP.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Перевести в WebP/AVIF, добавить srcset и реальные размеры.</w:t>
            </w:r>
          </w:p>
        </w:tc>
      </w:tr>
    </w:tbl>
    <w:p>
      <w:pPr>
        <w:spacing w:after="100"/>
      </w:pPr>
    </w:p>
    <w:p>
      <w:bookmarkStart w:id="5036" w:name="seoskop_toc_36"/>
      <w:pPr>
        <w:pStyle w:val="Heading2"/>
      </w:pPr>
      <w:r>
        <w:t>Favicon и брендирование</w:t>
      </w:r>
      <w:bookmarkEnd w:id="5036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794"/>
            <w:tcMar>
              <w:top w:w="90" w:type="dxa"/>
              <w:start w:w="90" w:type="dxa"/>
              <w:bottom w:w="90" w:type="dxa"/>
              <w:end w:w="90" w:type="dxa"/>
            </w:tcMar>
            <w:shd w:fill="F3F4F6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4B5563"/>
                <w:sz w:val="20"/>
              </w:rPr>
              <w:t>P3</w:t>
            </w:r>
          </w:p>
        </w:tc>
        <w:tc>
          <w:tcPr>
            <w:tcW w:type="dxa" w:w="8561"/>
            <w:tcMar>
              <w:top w:w="90" w:type="dxa"/>
              <w:start w:w="90" w:type="dxa"/>
              <w:bottom w:w="90" w:type="dxa"/>
              <w:end w:w="90" w:type="dxa"/>
            </w:tcMar>
            <w:shd w:fill="E0F2FE"/>
            <w:vAlign w:val="top"/>
          </w:tcPr>
          <w:p>
            <w:pPr>
              <w:keepNext/>
              <w:spacing w:after="0"/>
            </w:pPr>
            <w:r/>
            <w:r>
              <w:rPr>
                <w:rFonts w:ascii="Arial" w:hAnsi="Arial"/>
                <w:b/>
                <w:color w:val="18324B"/>
                <w:sz w:val="19"/>
              </w:rPr>
              <w:t>Нет maskable-иконки</w:t>
              <w:br/>
              <w:t>Масштаб: 1 из 7 URL (14.3%)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Что обнаружено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Основной комплект favicon есть, но в manifest не найден вариант purpose=maskable.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FF7ED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На что влияет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Иконка PWA может обрезаться на отдельных Android-устройствах.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F3F4F6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Критичность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Низкая.</w:t>
            </w:r>
          </w:p>
        </w:tc>
      </w:tr>
      <w:tr>
        <w:tc>
          <w:tcPr>
            <w:tcW w:type="dxa" w:w="1757"/>
            <w:tcMar>
              <w:top w:w="90" w:type="dxa"/>
              <w:start w:w="90" w:type="dxa"/>
              <w:bottom w:w="90" w:type="dxa"/>
              <w:end w:w="90" w:type="dxa"/>
            </w:tcMar>
            <w:shd w:fill="ECFDF5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7"/>
              </w:rPr>
              <w:t>Рекомендация</w:t>
            </w:r>
          </w:p>
        </w:tc>
        <w:tc>
          <w:tcPr>
            <w:tcW w:type="dxa" w:w="759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7"/>
              </w:rPr>
              <w:t>Добавить maskable PNG 192x192 и 512x512.</w:t>
            </w:r>
          </w:p>
        </w:tc>
      </w:tr>
    </w:tbl>
    <w:p>
      <w:pPr>
        <w:spacing w:after="100"/>
      </w:pPr>
    </w:p>
    <w:p>
      <w:bookmarkStart w:id="5037" w:name="seoskop_toc_37"/>
      <w:pPr>
        <w:pStyle w:val="Heading1"/>
      </w:pPr>
      <w:r>
        <w:t>12. План внедрения и контроль результата</w:t>
      </w:r>
      <w:bookmarkEnd w:id="5037"/>
    </w:p>
    <w:p>
      <w:r>
        <w:t>Порядок строится от блокирующих технических причин к скорости, шаблонам, коммерческим страницам и дальнейшему росту. Сроки являются ориентиром и зависят от масштаба шаблонов и ресурсов команды.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37"/>
        <w:gridCol w:w="2537"/>
        <w:gridCol w:w="2537"/>
        <w:gridCol w:w="2537"/>
      </w:tblGrid>
      <w:t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Этап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Цель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Приоритетные действия</w:t>
            </w:r>
          </w:p>
        </w:tc>
        <w:tc>
          <w:tcPr>
            <w:tcW w:type="dxa" w:w="294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Критерий результата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Этап 1 · 0–14 дней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Снять технические ограничения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• P1: Некачественные URL в sitemap — Оставить только канонические индексируемые HTML-страницы с кодом 200.</w:t>
              <w:br/>
              <w:t>• P1: LCP выше рекомендуемого порога: 3,6 с — Оптимизировать hero, preload ключевого изображения, критический CSS и серверный ответ.</w:t>
            </w:r>
          </w:p>
        </w:tc>
        <w:tc>
          <w:tcPr>
            <w:tcW w:type="dxa" w:w="294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• В sitemap остаются только канонические индексируемые URL с кодом 200.</w:t>
              <w:br/>
              <w:t>• Повторный Lighthouse подтверждает улучшение LCP/TBT и отсутствие регрессии CLS.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Этап 2 · 15–45 дней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Скорость, шаблоны и качество страниц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• P2: Слишком длинные Title — Сократить шаблон до основного интента, типа, бренда и региона.</w:t>
              <w:br/>
              <w:t>• P2: Неполная Product/Offer и отсутствует Service — Добавить availability, priceValidUntil, seller, Service и areaServed.</w:t>
              <w:br/>
              <w:t>• P2: Не везде указана итоговая стоимость монтажа — Раскрыть стандартный монтаж, дополнительные работы и пример расчета.</w:t>
              <w:br/>
              <w:t>• P2: Недостаточно локальных кейсов и отзывов — Добавить региональные кейсы, отзывы и страницы зон обслуживания только с уникальными условиями.</w:t>
            </w:r>
          </w:p>
        </w:tc>
        <w:tc>
          <w:tcPr>
            <w:tcW w:type="dxa" w:w="294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• Шаблоны разделены по типам страниц; массовые пропуски и дубли устранены.</w:t>
              <w:br/>
              <w:t>• Задача повторно проверена краулером и подтверждена на всех затронутых шаблонах.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Этап 3 · 46–90 дней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UX, контент и точки роста</w:t>
            </w:r>
          </w:p>
        </w:tc>
        <w:tc>
          <w:tcPr>
            <w:tcW w:type="dxa" w:w="340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• P3: Часть изображений тяжелее 250 КБ — Перевести в WebP/AVIF, добавить srcset и реальные размеры.</w:t>
              <w:br/>
              <w:t>• P3: Нет maskable-иконки — Добавить maskable PNG 192x192 и 512x512.</w:t>
            </w:r>
          </w:p>
        </w:tc>
        <w:tc>
          <w:tcPr>
            <w:tcW w:type="dxa" w:w="294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• Тяжелые изображения оптимизированы; первый экран не загружает лишние файлы.</w:t>
              <w:br/>
              <w:t>• Задача повторно проверена краулером и подтверждена на всех затронутых шаблонах.</w:t>
            </w:r>
          </w:p>
        </w:tc>
      </w:tr>
    </w:tbl>
    <w:p>
      <w:bookmarkStart w:id="5038" w:name="seoskop_toc_38"/>
      <w:pPr>
        <w:pStyle w:val="Heading1"/>
      </w:pPr>
      <w:r>
        <w:t>13. Точки роста после технического этапа</w:t>
      </w:r>
      <w:bookmarkEnd w:id="5038"/>
    </w:p>
    <w:p>
      <w:r>
        <w:t>Эти направления рекомендуется запускать после устранения блокирующих технических ошибок. Они являются гипотезами роста и требуют проверки спроса, конкурентов и бизнес-данных.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383"/>
        <w:gridCol w:w="3383"/>
        <w:gridCol w:w="3383"/>
      </w:tblGrid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Направление</w:t>
            </w:r>
          </w:p>
        </w:tc>
        <w:tc>
          <w:tcPr>
            <w:tcW w:type="dxa" w:w="4932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Что сделать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Условие запуска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Отраслевые посадочные</w:t>
            </w:r>
          </w:p>
        </w:tc>
        <w:tc>
          <w:tcPr>
            <w:tcW w:type="dxa" w:w="493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Создать ограниченный набор страниц по отраслям, задачам и применению с релевантным ассортиментом и уникальной ценностью.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После технической стабилизации и проверки спроса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Экспертный контент</w:t>
            </w:r>
          </w:p>
        </w:tc>
        <w:tc>
          <w:tcPr>
            <w:tcW w:type="dxa" w:w="493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Создать материалы с авторством, датой обновления, практическими примерами и ссылками на услуги или товары.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После технической стабилизации и проверки спроса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Кейсы и доказательства</w:t>
            </w:r>
          </w:p>
        </w:tc>
        <w:tc>
          <w:tcPr>
            <w:tcW w:type="dxa" w:w="493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Показывать задачу, исходные условия, решение, результат, фотографии и измеримые показатели.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После технической стабилизации и проверки спроса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Сертификация и документы</w:t>
            </w:r>
          </w:p>
        </w:tc>
        <w:tc>
          <w:tcPr>
            <w:tcW w:type="dxa" w:w="493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Связать сертификаты, протоколы, гарантии и допуски с конкретными коммерческими страницами.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После технической стабилизации и проверки спроса</w:t>
            </w:r>
          </w:p>
        </w:tc>
      </w:tr>
      <w:tr>
        <w:tc>
          <w:tcPr>
            <w:tcW w:type="dxa" w:w="204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Таблицы выбора</w:t>
            </w:r>
          </w:p>
        </w:tc>
        <w:tc>
          <w:tcPr>
            <w:tcW w:type="dxa" w:w="4932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Добавить сравнение вариантов, характеристики, ограничения, сценарии применения и подсказки выбора.</w:t>
            </w:r>
          </w:p>
        </w:tc>
        <w:tc>
          <w:tcPr>
            <w:tcW w:type="dxa" w:w="238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После технической стабилизации и проверки спроса</w:t>
            </w:r>
          </w:p>
        </w:tc>
      </w:tr>
    </w:tbl>
    <w:p>
      <w:bookmarkStart w:id="5039" w:name="seoskop_toc_39"/>
      <w:pPr>
        <w:pStyle w:val="Heading1"/>
      </w:pPr>
      <w:r>
        <w:t>14. Данные для подтверждения результата</w:t>
      </w:r>
      <w:bookmarkEnd w:id="5039"/>
    </w:p>
    <w:p>
      <w:r>
        <w:t>Технический аудит показывает состояние сайта, но реальный эффект продвижения нужно подтверждать собственными системами аналитики, а не только внешними оценками.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Источник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Что подтверждает</w:t>
            </w:r>
          </w:p>
        </w:tc>
      </w:tr>
      <w:t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Яндекс Метрика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Трафик, поведение, цели, формы, звонки и сравнение периодов.</w:t>
            </w:r>
          </w:p>
        </w:tc>
      </w:tr>
      <w:t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Яндекс Вебмастер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Индексация, исключенные страницы, запросы, клики и технические уведомления Яндекса.</w:t>
            </w:r>
          </w:p>
        </w:tc>
      </w:tr>
      <w:t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Google Search Console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Клики, показы, CTR, позиции, покрытие и эффективность страниц в Google.</w:t>
            </w:r>
          </w:p>
        </w:tc>
      </w:tr>
      <w:t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Яндекс Директ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Платный спрос, поисковые формулировки, регионы и вклад рекламы в обращения.</w:t>
            </w:r>
          </w:p>
        </w:tc>
      </w:tr>
      <w:tr>
        <w:tc>
          <w:tcPr>
            <w:tcW w:type="dxa" w:w="255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6"/>
              </w:rPr>
              <w:t>CRM / коллтрекинг</w:t>
            </w:r>
          </w:p>
        </w:tc>
        <w:tc>
          <w:tcPr>
            <w:tcW w:type="dxa" w:w="6803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6"/>
              </w:rPr>
              <w:t>Качество лидов, сделки, выручка, повторные обращения и окупаемость каналов.</w:t>
            </w:r>
          </w:p>
        </w:tc>
      </w:tr>
    </w:tbl>
    <w:p>
      <w:pPr>
        <w:spacing w:after="80"/>
      </w:pPr>
      <w:r>
        <w:rPr>
          <w:rFonts w:ascii="Arial" w:hAnsi="Arial"/>
          <w:color w:val="5A5A5A"/>
          <w:sz w:val="17"/>
        </w:rPr>
        <w:t>Отсутствие этих данных не считается ошибкой сайта и не снижает техническую оценку.</w:t>
      </w:r>
    </w:p>
    <w:p>
      <w:bookmarkStart w:id="5040" w:name="seoskop_toc_40"/>
      <w:pPr>
        <w:pStyle w:val="Heading1"/>
      </w:pPr>
      <w:r>
        <w:t>15. Экспертный анализ и приоритеты роста</w:t>
      </w:r>
      <w:bookmarkEnd w:id="5040"/>
    </w:p>
    <w:p>
      <w:pPr>
        <w:spacing w:after="80"/>
      </w:pPr>
      <w:r>
        <w:rPr>
          <w:rFonts w:ascii="Arial" w:hAnsi="Arial"/>
          <w:color w:val="5A5A5A"/>
          <w:sz w:val="17"/>
        </w:rPr>
        <w:t>Раздел заполнен специалистом после автоматической проверки. Пункты не изменяют технический балл, но задают бизнес-приоритеты, первое действие и критерий результата.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691"/>
        <w:gridCol w:w="1691"/>
        <w:gridCol w:w="1691"/>
        <w:gridCol w:w="1691"/>
        <w:gridCol w:w="1691"/>
        <w:gridCol w:w="1691"/>
      </w:tblGrid>
      <w:tr>
        <w:trPr>
          <w:tblHeader w:val="true"/>
        </w:trPr>
        <w:tc>
          <w:tcPr>
            <w:tcW w:type="dxa" w:w="397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P</w:t>
            </w:r>
          </w:p>
        </w:tc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Направление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Точка роста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Факт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Первое действие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shd w:fill="18324B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FFFFFF"/>
                <w:sz w:val="14"/>
              </w:rPr>
              <w:t>Критерий результата</w:t>
            </w:r>
          </w:p>
        </w:tc>
      </w:tr>
      <w:tr>
        <w:trPr>
          <w:cantSplit/>
        </w:trPr>
        <w:tc>
          <w:tcPr>
            <w:tcW w:type="dxa" w:w="397"/>
            <w:tcMar>
              <w:top w:w="90" w:type="dxa"/>
              <w:start w:w="90" w:type="dxa"/>
              <w:bottom w:w="90" w:type="dxa"/>
              <w:end w:w="90" w:type="dxa"/>
            </w:tcMar>
            <w:shd w:fill="FECACA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P0</w:t>
            </w:r>
          </w:p>
        </w:tc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Структура и спрос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Связать каталог с итоговой ценой монтажа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На карточках видна цена оборудования и базовый монтаж, но нет единого расчета по сложности трассы и дополнительным работам.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Добавить калькулятор итоговой цены и сохраняемый расчет для заявки.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Пользователь получает диапазон итоговой цены до отправки контактов.</w:t>
            </w:r>
          </w:p>
        </w:tc>
      </w:tr>
      <w:tr>
        <w:trPr>
          <w:cantSplit/>
        </w:trPr>
        <w:tc>
          <w:tcPr>
            <w:tcW w:type="dxa" w:w="397"/>
            <w:tcMar>
              <w:top w:w="90" w:type="dxa"/>
              <w:start w:w="90" w:type="dxa"/>
              <w:bottom w:w="90" w:type="dxa"/>
              <w:end w:w="90" w:type="dxa"/>
            </w:tcMar>
            <w:shd w:fill="FEE2E2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color w:val="B91C1C"/>
                <w:sz w:val="13"/>
              </w:rPr>
              <w:t>P1</w:t>
            </w:r>
          </w:p>
        </w:tc>
        <w:tc>
          <w:tcPr>
            <w:tcW w:type="dxa" w:w="1361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Региональность</w:t>
            </w:r>
          </w:p>
        </w:tc>
        <w:tc>
          <w:tcPr>
            <w:tcW w:type="dxa" w:w="181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3"/>
              </w:rPr>
              <w:t>Усилить локальные доказательства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Регион и зоны выезда указаны, но мало кейсов с районами Москвы и Московской области.</w:t>
            </w:r>
          </w:p>
        </w:tc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Добавить кейсы монтажа с типом объекта, районом, моделью, сроком и стоимостью.</w:t>
            </w:r>
          </w:p>
        </w:tc>
        <w:tc>
          <w:tcPr>
            <w:tcW w:type="dxa" w:w="1984"/>
            <w:tcMar>
              <w:top w:w="90" w:type="dxa"/>
              <w:start w:w="90" w:type="dxa"/>
              <w:bottom w:w="90" w:type="dxa"/>
              <w:end w:w="90" w:type="dxa"/>
            </w:tcMar>
            <w:shd w:fill="F8FAFC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3"/>
              </w:rPr>
              <w:t>На ключевых посадочных есть релевантные локальные кейсы и ссылки на них.</w:t>
            </w:r>
          </w:p>
        </w:tc>
      </w:tr>
    </w:tbl>
    <w:p>
      <w:bookmarkStart w:id="5041" w:name="seoskop_toc_41"/>
      <w:pPr>
        <w:pStyle w:val="Heading2"/>
      </w:pPr>
      <w:r>
        <w:t>1. [P0] Связать каталог с итоговой ценой монтажа</w:t>
      </w:r>
      <w:bookmarkEnd w:id="5041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Направление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Структура и спрос</w:t>
            </w:r>
          </w:p>
        </w:tc>
      </w:tr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Факт / наблюдение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На карточках видна цена оборудования и базовый монтаж, но нет единого расчета по сложности трассы и дополнительным работам.</w:t>
            </w:r>
          </w:p>
        </w:tc>
      </w:tr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Рекомендуемое действие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Добавить калькулятор итоговой цены и сохраняемый расчет для заявки.</w:t>
            </w:r>
          </w:p>
        </w:tc>
      </w:tr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Критерий результата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Пользователь получает диапазон итоговой цены до отправки контактов.</w:t>
            </w:r>
          </w:p>
        </w:tc>
      </w:tr>
    </w:tbl>
    <w:p>
      <w:bookmarkStart w:id="5042" w:name="seoskop_toc_42"/>
      <w:pPr>
        <w:pStyle w:val="Heading2"/>
      </w:pPr>
      <w:r>
        <w:t>2. [P1] Усилить локальные доказательства</w:t>
      </w:r>
      <w:bookmarkEnd w:id="5042"/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74"/>
        <w:gridCol w:w="5074"/>
      </w:tblGrid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Направление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Региональность</w:t>
            </w:r>
          </w:p>
        </w:tc>
      </w:tr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Факт / наблюдение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Регион и зоны выезда указаны, но мало кейсов с районами Москвы и Московской области.</w:t>
            </w:r>
          </w:p>
        </w:tc>
      </w:tr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Рекомендуемое действие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Добавить кейсы монтажа с типом объекта, районом, моделью, сроком и стоимостью.</w:t>
            </w:r>
          </w:p>
        </w:tc>
      </w:tr>
      <w:tr>
        <w:trPr>
          <w:cantSplit/>
        </w:trPr>
        <w:tc>
          <w:tcPr>
            <w:tcW w:type="dxa" w:w="2098"/>
            <w:tcMar>
              <w:top w:w="90" w:type="dxa"/>
              <w:start w:w="90" w:type="dxa"/>
              <w:bottom w:w="90" w:type="dxa"/>
              <w:end w:w="90" w:type="dxa"/>
            </w:tcMar>
            <w:shd w:fill="EFF6FF"/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/>
                <w:sz w:val="15"/>
              </w:rPr>
              <w:t>Критерий результата</w:t>
            </w:r>
          </w:p>
        </w:tc>
        <w:tc>
          <w:tcPr>
            <w:tcW w:type="dxa" w:w="7257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sz w:val="15"/>
              </w:rPr>
              <w:t>На ключевых посадочных есть релевантные локальные кейсы и ссылки на них.</w:t>
            </w:r>
          </w:p>
        </w:tc>
      </w:tr>
    </w:tbl>
    <w:p>
      <w:bookmarkStart w:id="5043" w:name="seoskop_toc_43"/>
      <w:pPr>
        <w:pStyle w:val="Heading1"/>
        <w:keepNext/>
      </w:pPr>
      <w:r>
        <w:t>Итоговый вывод и последовательность действий</w:t>
      </w:r>
      <w:bookmarkEnd w:id="5043"/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148"/>
      </w:tblGrid>
      <w:tr>
        <w:tc>
          <w:tcPr>
            <w:tcW w:type="dxa" w:w="10148"/>
            <w:shd w:fill="EFF6FF"/>
            <w:tcMar>
              <w:top w:w="90" w:type="dxa"/>
              <w:start w:w="90" w:type="dxa"/>
              <w:bottom w:w="90" w:type="dxa"/>
              <w:end w:w="90" w:type="dxa"/>
            </w:tcMar>
            <w:vAlign w:val="top"/>
          </w:tcPr>
          <w:p>
            <w:pPr>
              <w:spacing w:after="0"/>
            </w:pPr>
            <w:r/>
            <w:r>
              <w:rPr>
                <w:rFonts w:ascii="Arial" w:hAnsi="Arial"/>
                <w:b w:val="0"/>
                <w:color w:val="18324B"/>
                <w:sz w:val="15"/>
              </w:rPr>
              <w:t>Интернет-магазин demo-climat.ru получил 66/100 по проверенной области: требуется системная доработка. Оценка не является позицией сайта в поиске и отражает только подтвержденные технические, on-page, скоростные и коммерческие факторы.</w:t>
              <w:br/>
              <w:br/>
              <w:t>Главные ограничения: скорость — LCP выше рекомендуемого порога: 3,6 с; sitemap — Некачественные URL в sitemap; коммерческие факторы — Не везде указана итоговая стоимость монтажа. На текущем этапе P1: 2, P2: 4. Последовательность первых действий: 1) Оптимизировать hero, preload ключевого изображения, критический CSS и серверный ответ. 2) Оставить только канонические индексируемые HTML-страницы с кодом 200. 3) Раскрыть стандартный монтаж, дополнительные работы и пример расчета. Экспертный приоритет перед итогом: Связать каталог с итоговой ценой монтажа. Первое действие: Добавить калькулятор итоговой цены и сохраняемый расчет для заявки..</w:t>
              <w:br/>
              <w:br/>
              <w:t>Следующий этап — привести к единой логике категории, карточки, фильтры и индексируемые фасеты, затем расширять спрос по назначению и отраслям. Оценка относится к выборке 450 из 520 известных URL (86.5%); абсолютные значения нельзя переносить на непросканированную часть сайта. Не загружены: аналитика и панели вебмастеров, позиции, семантика, внешний ссылочный профиль; эти направления отмечены как «не оценивалось» и технический балл не снижали. После внедрения следует выполнить повторный обход в тех же настройках, сравнить исправленные и новые ошибки, а рост трафика, заявок и продаж подтверждать Метрикой, Вебмастером, Search Console и CRM.</w:t>
            </w:r>
          </w:p>
        </w:tc>
      </w:tr>
    </w:tbl>
    <w:p>
      <w:pPr>
        <w:spacing w:before="0" w:after="0" w:line="20" w:lineRule="exact"/>
      </w:pPr>
      <w:r>
        <w:rPr>
          <w:sz w:val="2"/>
        </w:rPr>
      </w:r>
    </w:p>
    <w:sectPr w:rsidR="00FC693F" w:rsidRPr="0006063C" w:rsidSect="00034616">
      <w:footerReference w:type="default" r:id="rId9"/>
      <w:headerReference w:type="default" r:id="rId18"/>
      <w:pgSz w:w="11906" w:h="16838"/>
      <w:pgMar w:top="822" w:right="879" w:bottom="822" w:left="87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Arial" w:hAnsi="Arial"/>
        <w:color w:val="4B5563"/>
        <w:sz w:val="16"/>
      </w:rPr>
      <w:t>ПРИМЕР ОТЧЕТА | SEO-аудит demo-climat.ru</w:t>
    </w:r>
  </w:p>
  <w:p>
    <w:pPr>
      <w:jc w:val="right"/>
    </w:pPr>
    <w:r>
      <w:rPr>
        <w:rFonts w:ascii="Arial" w:hAnsi="Arial"/>
        <w:color w:val="4B5563"/>
        <w:sz w:val="16"/>
      </w:rPr>
      <w:t xml:space="preserve">Страница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20"/>
      <w:outlineLvl w:val="0"/>
    </w:pPr>
    <w:rPr>
      <w:rFonts w:asciiTheme="majorHAnsi" w:eastAsiaTheme="majorEastAsia" w:hAnsiTheme="majorHAnsi" w:cstheme="majorBidi" w:ascii="Arial" w:hAnsi="Arial"/>
      <w:b/>
      <w:bCs/>
      <w:color w:val="18324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/>
      <w:outlineLvl w:val="1"/>
    </w:pPr>
    <w:rPr>
      <w:rFonts w:asciiTheme="majorHAnsi" w:eastAsiaTheme="majorEastAsia" w:hAnsiTheme="majorHAnsi" w:cstheme="majorBidi" w:ascii="Arial" w:hAnsi="Arial"/>
      <w:b/>
      <w:bCs/>
      <w:color w:val="37415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/>
      <w:outlineLvl w:val="2"/>
    </w:pPr>
    <w:rPr>
      <w:rFonts w:asciiTheme="majorHAnsi" w:eastAsiaTheme="majorEastAsia" w:hAnsiTheme="majorHAnsi" w:cstheme="majorBidi" w:ascii="Arial" w:hAnsi="Arial"/>
      <w:b/>
      <w:bCs/>
      <w:color w:val="18324B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20" w:line="240" w:lineRule="auto" w:before="200"/>
      <w:contextualSpacing/>
    </w:pPr>
    <w:rPr>
      <w:rFonts w:asciiTheme="majorHAnsi" w:eastAsiaTheme="majorEastAsia" w:hAnsiTheme="majorHAnsi" w:cstheme="majorBidi" w:ascii="Arial" w:hAnsi="Arial"/>
      <w:b/>
      <w:color w:val="18324B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Relationship Id="rId12" Type="http://schemas.openxmlformats.org/officeDocument/2006/relationships/image" Target="media/image3.png"/><Relationship Id="rId13" Type="http://schemas.openxmlformats.org/officeDocument/2006/relationships/image" Target="media/image4.png"/><Relationship Id="rId14" Type="http://schemas.openxmlformats.org/officeDocument/2006/relationships/image" Target="media/image5.png"/><Relationship Id="rId15" Type="http://schemas.openxmlformats.org/officeDocument/2006/relationships/image" Target="media/image6.png"/><Relationship Id="rId16" Type="http://schemas.openxmlformats.org/officeDocument/2006/relationships/image" Target="media/image7.png"/><Relationship Id="rId17" Type="http://schemas.openxmlformats.org/officeDocument/2006/relationships/image" Target="media/image8.png"/><Relationship Id="rId1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